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102026_050707.xml.htm"/>
      <w:bookmarkStart w:id="1" w:name="ksform407102026_05070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Lin Liwei Lorraine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NOVABRIDGE BIOSCIENCES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2440 RESEARCH BOULEVARD, SUITE 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ROCKVILLE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NovaBridge Biosciences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NBP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General Counsel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50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876"/>
        <w:gridCol w:w="276"/>
        <w:gridCol w:w="906"/>
        <w:gridCol w:w="801"/>
        <w:gridCol w:w="861"/>
        <w:gridCol w:w="9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50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1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2025 Employee Share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1.93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254,780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07/08/2036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254,780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254,780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Number of underlying securities and exercise price expressed in terms of American Depositary Shares ("ADS").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option vests and becomes exercisable over five years, with 40% vesting on the second anniversary of February 1, 2026 and the balance vesting in three equal annual installments thereafter.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Ordinary Shares may be represented by ADSs. Each 10 ADSs represent 23 Ordinary Shares of the Issuer.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Kyler Lei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14156" TargetMode="External"/><Relationship Id="rId5" Type="http://schemas.openxmlformats.org/officeDocument/2006/relationships/hyperlink" Target="http://www.sec.gov/cgi-bin/browse-edgar?action=getcompany&amp;CIK=000177801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639</Words>
  <Characters>3506</Characters>
  <CharactersWithSpaces>4085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