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40"/>
        <w:jc w:val="both"/>
        <w:rPr/>
      </w:pPr>
      <w:bookmarkStart w:id="0" w:name="nbp-20251231.htm"/>
      <w:bookmarkStart w:id="1" w:name="ksnbp20251231"/>
      <w:bookmarkEnd w:id="0"/>
      <w:bookmarkEnd w:id="1"/>
      <w:r>
        <w:rPr/>
        <w:t> </w:t>
      </w:r>
    </w:p>
    <w:p>
      <w:pPr>
        <w:pStyle w:val="TextBody"/>
        <w:bidi w:val="0"/>
        <w:jc w:val="left"/>
        <w:rPr/>
      </w:pPr>
      <w:r>
        <w:rPr/>
        <w:t> </w:t>
      </w:r>
    </w:p>
    <w:p>
      <w:pPr>
        <w:pStyle w:val="TextBody"/>
        <w:bidi w:val="0"/>
        <w:jc w:val="left"/>
        <w:rPr/>
      </w:pPr>
      <w:r>
        <w:rPr/>
        <w:t> </w:t>
      </w:r>
    </w:p>
    <w:p>
      <w:pPr>
        <w:pStyle w:val="TextBody"/>
        <w:pBdr>
          <w:top w:val="single" w:sz="4" w:space="1" w:color="000000"/>
        </w:pBdr>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20-F/A</w:t>
      </w:r>
    </w:p>
    <w:p>
      <w:pPr>
        <w:pStyle w:val="TextBody"/>
        <w:bidi w:val="0"/>
        <w:jc w:val="center"/>
        <w:rPr>
          <w:rFonts w:ascii="Times New Roman" w:hAnsi="Times New Roman"/>
          <w:b/>
          <w:color w:val="000000"/>
          <w:sz w:val="20"/>
        </w:rPr>
      </w:pPr>
      <w:r>
        <w:rPr>
          <w:rFonts w:ascii="Times New Roman" w:hAnsi="Times New Roman"/>
          <w:b/>
          <w:color w:val="000000"/>
          <w:sz w:val="20"/>
        </w:rPr>
        <w:t>(Amendment No. 1)</w:t>
      </w:r>
    </w:p>
    <w:p>
      <w:pPr>
        <w:pStyle w:val="TextBody"/>
        <w:bidi w:val="0"/>
        <w:spacing w:before="0" w:after="40"/>
        <w:jc w:val="left"/>
        <w:rPr>
          <w:rFonts w:ascii="Times New Roman" w:hAnsi="Times New Roman"/>
          <w:b/>
          <w:color w:val="000000"/>
          <w:sz w:val="16"/>
        </w:rPr>
      </w:pPr>
      <w:r>
        <w:rPr>
          <w:rFonts w:ascii="Times New Roman" w:hAnsi="Times New Roman"/>
          <w:b/>
          <w:color w:val="000000"/>
          <w:sz w:val="16"/>
        </w:rPr>
        <w:t>(Mark One)</w:t>
      </w:r>
    </w:p>
    <w:p>
      <w:pPr>
        <w:pStyle w:val="TextBody"/>
        <w:bidi w:val="0"/>
        <w:spacing w:before="0" w:after="40"/>
        <w:jc w:val="center"/>
        <w:rPr/>
      </w:pPr>
      <w:r>
        <w:rPr>
          <w:color w:val="000000"/>
        </w:rPr>
        <w:t xml:space="preserve">☐ </w:t>
      </w:r>
      <w:r>
        <w:rPr>
          <w:rFonts w:ascii="Times New Roman" w:hAnsi="Times New Roman"/>
          <w:b/>
          <w:color w:val="000000"/>
          <w:sz w:val="16"/>
        </w:rPr>
        <w:t>REGISTRATION STATEMENT PURSUANT TO SECTION 12(b) OR 12(g) OF THE SECURITIES EXCHANGE ACT OF 1934</w:t>
      </w:r>
    </w:p>
    <w:p>
      <w:pPr>
        <w:pStyle w:val="TextBody"/>
        <w:bidi w:val="0"/>
        <w:spacing w:before="0" w:after="40"/>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0" w:after="40"/>
        <w:jc w:val="center"/>
        <w:rPr/>
      </w:pPr>
      <w:r>
        <w:rPr>
          <w:color w:val="000000"/>
        </w:rPr>
        <w:t xml:space="preserve">☒ </w:t>
      </w:r>
      <w:r>
        <w:rPr>
          <w:rFonts w:ascii="Times New Roman" w:hAnsi="Times New Roman"/>
          <w:b/>
          <w:color w:val="000000"/>
          <w:sz w:val="16"/>
        </w:rPr>
        <w:t>ANNUAL REPORT PURSUANT TO SECTION 13 OR 15(d) OF THE SECURITIES EXCHANGE ACT OF 1934</w:t>
      </w:r>
    </w:p>
    <w:p>
      <w:pPr>
        <w:pStyle w:val="TextBody"/>
        <w:bidi w:val="0"/>
        <w:spacing w:before="0" w:after="40"/>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0" w:after="40"/>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0" w:after="40"/>
        <w:jc w:val="center"/>
        <w:rPr/>
      </w:pPr>
      <w:r>
        <w:rPr>
          <w:color w:val="00000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0" w:after="40"/>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0" w:after="40"/>
        <w:jc w:val="center"/>
        <w:rPr/>
      </w:pPr>
      <w:r>
        <w:rPr>
          <w:color w:val="000000"/>
        </w:rPr>
        <w:t xml:space="preserve">☐ </w:t>
      </w:r>
      <w:r>
        <w:rPr>
          <w:rFonts w:ascii="Times New Roman" w:hAnsi="Times New Roman"/>
          <w:b/>
          <w:color w:val="000000"/>
          <w:sz w:val="16"/>
        </w:rPr>
        <w:t>SHELL COMPANY REPORT PURSUANT TO SECTION 13 OR 15(d) OF THE SECURITIES EXCHANGE ACT OF 1934</w:t>
      </w:r>
    </w:p>
    <w:p>
      <w:pPr>
        <w:pStyle w:val="TextBody"/>
        <w:bidi w:val="0"/>
        <w:spacing w:before="0" w:after="40"/>
        <w:jc w:val="center"/>
        <w:rPr>
          <w:rFonts w:ascii="Times New Roman" w:hAnsi="Times New Roman"/>
          <w:b/>
          <w:color w:val="000000"/>
          <w:sz w:val="16"/>
        </w:rPr>
      </w:pPr>
      <w:r>
        <w:rPr>
          <w:rFonts w:ascii="Times New Roman" w:hAnsi="Times New Roman"/>
          <w:b/>
          <w:color w:val="000000"/>
          <w:sz w:val="16"/>
        </w:rPr>
        <w:t>Date of event requiring this shell company report _______________________</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Commission file number 001-39173</w:t>
      </w:r>
    </w:p>
    <w:p>
      <w:pPr>
        <w:pStyle w:val="TextBody"/>
        <w:pBdr>
          <w:bottom w:val="single" w:sz="6" w:space="1" w:color="000000"/>
        </w:pBdr>
        <w:bidi w:val="0"/>
        <w:spacing w:before="0" w:after="40"/>
        <w:jc w:val="center"/>
        <w:rPr>
          <w:rFonts w:ascii="Times New Roman" w:hAnsi="Times New Roman"/>
          <w:b/>
          <w:color w:val="000000"/>
          <w:sz w:val="32"/>
        </w:rPr>
      </w:pPr>
      <w:r>
        <w:rPr>
          <w:rFonts w:ascii="Times New Roman" w:hAnsi="Times New Roman"/>
          <w:b/>
          <w:color w:val="000000"/>
          <w:sz w:val="32"/>
        </w:rPr>
        <w:t>NovaBridge Biosciences</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6" w:space="1" w:color="000000"/>
        </w:pBdr>
        <w:bidi w:val="0"/>
        <w:spacing w:before="0" w:after="40"/>
        <w:jc w:val="center"/>
        <w:rPr>
          <w:rFonts w:ascii="Times New Roman" w:hAnsi="Times New Roman"/>
          <w:b/>
          <w:color w:val="000000"/>
          <w:sz w:val="16"/>
        </w:rPr>
      </w:pPr>
      <w:r>
        <w:rPr>
          <w:rFonts w:ascii="Times New Roman" w:hAnsi="Times New Roman"/>
          <w:b/>
          <w:color w:val="000000"/>
          <w:sz w:val="16"/>
        </w:rPr>
        <w:t>N/A</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(Translation of Registrant’s Name into English)</w:t>
      </w:r>
    </w:p>
    <w:p>
      <w:pPr>
        <w:pStyle w:val="TextBody"/>
        <w:pBdr>
          <w:bottom w:val="single" w:sz="6" w:space="1" w:color="000000"/>
        </w:pBdr>
        <w:bidi w:val="0"/>
        <w:spacing w:before="0" w:after="40"/>
        <w:jc w:val="center"/>
        <w:rPr>
          <w:rFonts w:ascii="Times New Roman" w:hAnsi="Times New Roman"/>
          <w:b/>
          <w:color w:val="000000"/>
          <w:sz w:val="16"/>
        </w:rPr>
      </w:pPr>
      <w:r>
        <w:rPr>
          <w:rFonts w:ascii="Times New Roman" w:hAnsi="Times New Roman"/>
          <w:b/>
          <w:color w:val="000000"/>
          <w:sz w:val="16"/>
        </w:rPr>
        <w:t>Cayman Islands</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(Jurisdiction of Incorporation or Organization)</w:t>
      </w:r>
    </w:p>
    <w:p>
      <w:pPr>
        <w:pStyle w:val="TextBody"/>
        <w:bidi w:val="0"/>
        <w:jc w:val="center"/>
        <w:rPr>
          <w:rFonts w:ascii="Times New Roman" w:hAnsi="Times New Roman"/>
          <w:b/>
          <w:color w:val="000000"/>
          <w:sz w:val="16"/>
        </w:rPr>
      </w:pPr>
      <w:r>
        <w:rPr>
          <w:rFonts w:ascii="Times New Roman" w:hAnsi="Times New Roman"/>
          <w:b/>
          <w:color w:val="000000"/>
          <w:sz w:val="16"/>
        </w:rPr>
        <w:t>2440 Research Boulevard, Suite 400</w:t>
      </w:r>
    </w:p>
    <w:p>
      <w:pPr>
        <w:pStyle w:val="TextBody"/>
        <w:bidi w:val="0"/>
        <w:jc w:val="center"/>
        <w:rPr>
          <w:rFonts w:ascii="Times New Roman" w:hAnsi="Times New Roman"/>
          <w:sz w:val="20"/>
        </w:rPr>
      </w:pPr>
      <w:r>
        <w:rPr>
          <w:rFonts w:ascii="Times New Roman" w:hAnsi="Times New Roman"/>
          <w:b/>
          <w:color w:val="000000"/>
          <w:sz w:val="16"/>
        </w:rPr>
        <w:t>Rockville, MD</w:t>
      </w:r>
      <w:r>
        <w:rPr>
          <w:rFonts w:ascii="Times New Roman" w:hAnsi="Times New Roman"/>
          <w:color w:val="000000"/>
          <w:sz w:val="20"/>
        </w:rPr>
        <w:t xml:space="preserve"> </w:t>
      </w:r>
      <w:r>
        <w:rPr>
          <w:rFonts w:ascii="Times New Roman" w:hAnsi="Times New Roman"/>
          <w:b/>
          <w:color w:val="000000"/>
          <w:sz w:val="16"/>
        </w:rPr>
        <w:t>20850</w:t>
      </w:r>
    </w:p>
    <w:p>
      <w:pPr>
        <w:pStyle w:val="TextBody"/>
        <w:bidi w:val="0"/>
        <w:jc w:val="center"/>
        <w:rPr>
          <w:rFonts w:ascii="Times New Roman" w:hAnsi="Times New Roman"/>
          <w:b/>
          <w:color w:val="000000"/>
          <w:sz w:val="16"/>
        </w:rPr>
      </w:pPr>
      <w:r>
        <w:rPr>
          <w:rFonts w:ascii="Times New Roman" w:hAnsi="Times New Roman"/>
          <w:b/>
          <w:color w:val="000000"/>
          <w:sz w:val="16"/>
        </w:rPr>
        <w:t>United States</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jc w:val="center"/>
        <w:rPr>
          <w:rFonts w:ascii="Times New Roman" w:hAnsi="Times New Roman"/>
          <w:b/>
          <w:color w:val="000000"/>
          <w:sz w:val="16"/>
        </w:rPr>
      </w:pPr>
      <w:r>
        <w:rPr>
          <w:rFonts w:ascii="Times New Roman" w:hAnsi="Times New Roman"/>
          <w:b/>
          <w:color w:val="000000"/>
          <w:sz w:val="16"/>
        </w:rPr>
        <w:t>Kyler Lei</w:t>
        <w:br/>
        <w:t>Chief Financial Officer</w:t>
      </w:r>
    </w:p>
    <w:p>
      <w:pPr>
        <w:pStyle w:val="TextBody"/>
        <w:bidi w:val="0"/>
        <w:jc w:val="center"/>
        <w:rPr>
          <w:rFonts w:ascii="Times New Roman" w:hAnsi="Times New Roman"/>
          <w:b/>
          <w:color w:val="000000"/>
          <w:sz w:val="16"/>
        </w:rPr>
      </w:pPr>
      <w:r>
        <w:rPr>
          <w:rFonts w:ascii="Times New Roman" w:hAnsi="Times New Roman"/>
          <w:b/>
          <w:color w:val="000000"/>
          <w:sz w:val="16"/>
        </w:rPr>
        <w:t>2440 Research Boulevard, Suite 400</w:t>
      </w:r>
    </w:p>
    <w:p>
      <w:pPr>
        <w:pStyle w:val="TextBody"/>
        <w:bidi w:val="0"/>
        <w:jc w:val="center"/>
        <w:rPr>
          <w:rFonts w:ascii="Times New Roman" w:hAnsi="Times New Roman"/>
          <w:b/>
          <w:color w:val="000000"/>
          <w:sz w:val="16"/>
        </w:rPr>
      </w:pPr>
      <w:r>
        <w:rPr>
          <w:rFonts w:ascii="Times New Roman" w:hAnsi="Times New Roman"/>
          <w:b/>
          <w:color w:val="000000"/>
          <w:sz w:val="16"/>
        </w:rPr>
        <w:t>United States</w:t>
      </w:r>
    </w:p>
    <w:p>
      <w:pPr>
        <w:pStyle w:val="TextBody"/>
        <w:pBdr>
          <w:bottom w:val="single" w:sz="6" w:space="1" w:color="000000"/>
        </w:pBdr>
        <w:bidi w:val="0"/>
        <w:jc w:val="center"/>
        <w:rPr>
          <w:rFonts w:ascii="Times New Roman" w:hAnsi="Times New Roman"/>
          <w:b/>
          <w:color w:val="000000"/>
          <w:sz w:val="16"/>
        </w:rPr>
      </w:pPr>
      <w:r>
        <w:rPr>
          <w:rFonts w:ascii="Times New Roman" w:hAnsi="Times New Roman"/>
          <w:b/>
          <w:color w:val="000000"/>
          <w:sz w:val="16"/>
        </w:rPr>
        <w:t>Phone: (240) 745-6330</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(Name, Telephone, and/or Facsimile number and Address of Company Contact Person)</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Securities registered or to be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517"/>
        <w:gridCol w:w="1436"/>
        <w:gridCol w:w="3252"/>
      </w:tblGrid>
      <w:tr>
        <w:trPr/>
        <w:tc>
          <w:tcPr>
            <w:tcW w:w="55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Title of each class</w:t>
            </w:r>
          </w:p>
        </w:tc>
        <w:tc>
          <w:tcPr>
            <w:tcW w:w="14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Trading Symbol(s)</w:t>
            </w:r>
          </w:p>
        </w:tc>
        <w:tc>
          <w:tcPr>
            <w:tcW w:w="3252"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517"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American depositary shares, each ten</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 American depositary shares representing twenty-three (23) ordinary shares</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NBP</w:t>
            </w:r>
          </w:p>
        </w:tc>
        <w:tc>
          <w:tcPr>
            <w:tcW w:w="3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br/>
              <w:t>(The Nasdaq Global Market)</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1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Ordinary shares, par value $0.0001 per share</w:t>
            </w:r>
          </w:p>
        </w:tc>
        <w:tc>
          <w:tcPr>
            <w:tcW w:w="14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t>
            </w:r>
          </w:p>
        </w:tc>
        <w:tc>
          <w:tcPr>
            <w:tcW w:w="325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br/>
              <w:t>(The Nasdaq Global Market)*</w:t>
            </w:r>
          </w:p>
        </w:tc>
      </w:tr>
    </w:tbl>
    <w:p>
      <w:pPr>
        <w:pStyle w:val="TextBody"/>
        <w:pBdr>
          <w:bottom w:val="single" w:sz="4" w:space="1" w:color="000000"/>
        </w:pBdr>
        <w:bidi w:val="0"/>
        <w:jc w:val="both"/>
        <w:rPr/>
      </w:pPr>
      <w:r>
        <w:rPr/>
        <w:t> </w:t>
      </w:r>
    </w:p>
    <w:p>
      <w:pPr>
        <w:pStyle w:val="TextBody"/>
        <w:bidi w:val="0"/>
        <w:spacing w:before="0" w:after="40"/>
        <w:jc w:val="both"/>
        <w:rPr>
          <w:rFonts w:ascii="Times New Roman" w:hAnsi="Times New Roman"/>
          <w:i/>
          <w:color w:val="000000"/>
          <w:sz w:val="16"/>
        </w:rPr>
      </w:pPr>
      <w:r>
        <w:rPr>
          <w:rFonts w:ascii="Times New Roman" w:hAnsi="Times New Roman"/>
          <w:i/>
          <w:color w:val="000000"/>
          <w:sz w:val="16"/>
        </w:rPr>
        <w:t>* Not for trading, but only in connection with the registration of American depository shares.</w:t>
      </w:r>
    </w:p>
    <w:p>
      <w:pPr>
        <w:pStyle w:val="TextBody"/>
        <w:bidi w:val="0"/>
        <w:spacing w:before="0" w:after="40"/>
        <w:jc w:val="center"/>
        <w:rPr>
          <w:rFonts w:ascii="Times New Roman" w:hAnsi="Times New Roman"/>
          <w:color w:val="000000"/>
          <w:sz w:val="16"/>
        </w:rPr>
      </w:pPr>
      <w:r>
        <w:rPr>
          <w:rFonts w:ascii="Times New Roman" w:hAnsi="Times New Roman"/>
          <w:color w:val="000000"/>
          <w:sz w:val="16"/>
        </w:rPr>
        <w:t>Securities registered or to be registered pursuant to Section 12(g) of the Act:</w:t>
      </w:r>
    </w:p>
    <w:p>
      <w:pPr>
        <w:pStyle w:val="TextBody"/>
        <w:pBdr>
          <w:bottom w:val="single" w:sz="6" w:space="1" w:color="000000"/>
        </w:pBdr>
        <w:bidi w:val="0"/>
        <w:jc w:val="center"/>
        <w:rPr>
          <w:rFonts w:ascii="Times New Roman" w:hAnsi="Times New Roman"/>
          <w:b/>
          <w:color w:val="000000"/>
          <w:sz w:val="16"/>
        </w:rPr>
      </w:pPr>
      <w:r>
        <w:rPr>
          <w:rFonts w:ascii="Times New Roman" w:hAnsi="Times New Roman"/>
          <w:b/>
          <w:color w:val="000000"/>
          <w:sz w:val="16"/>
        </w:rPr>
        <w:t>None</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(Title of Class)</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Securities for which there is a reporting obligation pursuant to Section 15(d) of the Act:</w:t>
      </w:r>
    </w:p>
    <w:p>
      <w:pPr>
        <w:pStyle w:val="TextBody"/>
        <w:pBdr>
          <w:bottom w:val="single" w:sz="6" w:space="1" w:color="000000"/>
        </w:pBdr>
        <w:bidi w:val="0"/>
        <w:jc w:val="center"/>
        <w:rPr>
          <w:rFonts w:ascii="Times New Roman" w:hAnsi="Times New Roman"/>
          <w:b/>
          <w:color w:val="000000"/>
          <w:sz w:val="16"/>
        </w:rPr>
      </w:pPr>
      <w:r>
        <w:rPr>
          <w:rFonts w:ascii="Times New Roman" w:hAnsi="Times New Roman"/>
          <w:b/>
          <w:color w:val="000000"/>
          <w:sz w:val="16"/>
        </w:rPr>
        <w:t>None</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(Title of Class)</w:t>
      </w:r>
    </w:p>
    <w:p>
      <w:pPr>
        <w:pStyle w:val="TextBody"/>
        <w:bidi w:val="0"/>
        <w:spacing w:before="0" w:after="120"/>
        <w:jc w:val="both"/>
        <w:rPr>
          <w:rFonts w:ascii="Times New Roman" w:hAnsi="Times New Roman"/>
          <w:sz w:val="20"/>
        </w:rPr>
      </w:pPr>
      <w:r>
        <w:rPr>
          <w:rFonts w:ascii="Times New Roman" w:hAnsi="Times New Roman"/>
          <w:color w:val="000000"/>
          <w:sz w:val="16"/>
        </w:rPr>
        <w:t>Indicate the number of outstanding shares of each of the issuer’s classes of capital or common stock as of the close of the period covered by the annual report: 265,377,891</w:t>
      </w:r>
      <w:r>
        <w:rPr>
          <w:rFonts w:ascii="Times New Roman" w:hAnsi="Times New Roman"/>
          <w:color w:val="000000"/>
          <w:sz w:val="20"/>
        </w:rPr>
        <w:t xml:space="preserve"> </w:t>
      </w:r>
      <w:r>
        <w:rPr>
          <w:rFonts w:ascii="Times New Roman" w:hAnsi="Times New Roman"/>
          <w:color w:val="000000"/>
          <w:sz w:val="16"/>
        </w:rPr>
        <w:t>ordinary shares outstanding, par value of $0.0001 per share as of December 31, 2025.</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olor w:val="000000"/>
          <w:sz w:val="20"/>
        </w:rPr>
        <w:t xml:space="preserve">☐ </w:t>
      </w:r>
      <w:r>
        <w:rPr>
          <w:rFonts w:ascii="Times New Roman" w:hAnsi="Times New Roman"/>
          <w:color w:val="000000"/>
          <w:sz w:val="16"/>
        </w:rPr>
        <w:t xml:space="preserve">Yes </w:t>
      </w:r>
      <w:r>
        <w:rPr>
          <w:rFonts w:ascii="Times New Roman" w:hAnsi="Times New Roman"/>
          <w:color w:val="000000"/>
          <w:sz w:val="20"/>
        </w:rPr>
        <w:t xml:space="preserve">☒ </w:t>
      </w:r>
      <w:r>
        <w:rPr>
          <w:rFonts w:ascii="Times New Roman" w:hAnsi="Times New Roman"/>
          <w:color w:val="000000"/>
          <w:sz w:val="16"/>
        </w:rPr>
        <w:t>No</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If this report is an annual or transition report, indicate by check mark if the registrant is not required to file reports pursuant to Section 13 or 15(d) of the Securities Exchange Act of 1934. </w:t>
      </w:r>
      <w:r>
        <w:rPr>
          <w:rFonts w:ascii="Times New Roman" w:hAnsi="Times New Roman"/>
          <w:color w:val="000000"/>
          <w:sz w:val="20"/>
        </w:rPr>
        <w:t xml:space="preserve">☐ </w:t>
      </w:r>
      <w:r>
        <w:rPr>
          <w:rFonts w:ascii="Times New Roman" w:hAnsi="Times New Roman"/>
          <w:color w:val="000000"/>
          <w:sz w:val="16"/>
        </w:rPr>
        <w:t xml:space="preserve">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w:t>
      </w:r>
    </w:p>
    <w:p>
      <w:pPr>
        <w:pStyle w:val="TextBody"/>
        <w:bidi w:val="0"/>
        <w:spacing w:before="0" w:after="120"/>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Times New Roman" w:hAnsi="Times New Roman"/>
          <w:color w:val="000000"/>
          <w:sz w:val="16"/>
        </w:rPr>
        <w:t>Yes</w:t>
      </w:r>
      <w:r>
        <w:rPr>
          <w:rFonts w:ascii="Times New Roman" w:hAnsi="Times New Roman"/>
          <w:color w:val="000000"/>
          <w:sz w:val="20"/>
        </w:rPr>
        <w:t xml:space="preserve"> ☐ </w:t>
      </w:r>
      <w:r>
        <w:rPr>
          <w:rFonts w:ascii="Times New Roman" w:hAnsi="Times New Roman"/>
          <w:color w:val="000000"/>
          <w:sz w:val="16"/>
        </w:rPr>
        <w:t>No</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bl>
      <w:tblPr>
        <w:tblW w:w="7324" w:type="dxa"/>
        <w:jc w:val="left"/>
        <w:tblInd w:w="0" w:type="dxa"/>
        <w:tblLayout w:type="fixed"/>
        <w:tblCellMar>
          <w:top w:w="28" w:type="dxa"/>
          <w:left w:w="28" w:type="dxa"/>
          <w:bottom w:w="28" w:type="dxa"/>
          <w:right w:w="28" w:type="dxa"/>
        </w:tblCellMar>
      </w:tblPr>
      <w:tblGrid>
        <w:gridCol w:w="1861"/>
        <w:gridCol w:w="1756"/>
        <w:gridCol w:w="1441"/>
        <w:gridCol w:w="2266"/>
      </w:tblGrid>
      <w:tr>
        <w:trPr/>
        <w:tc>
          <w:tcPr>
            <w:tcW w:w="18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Large accelerated filer ☐</w:t>
            </w:r>
          </w:p>
          <w:p>
            <w:pPr>
              <w:pStyle w:val="TableContents"/>
              <w:bidi w:val="0"/>
              <w:spacing w:before="0" w:after="283"/>
              <w:jc w:val="left"/>
              <w:rPr/>
            </w:pPr>
            <w:r>
              <w:rPr/>
              <w:t> </w:t>
            </w:r>
          </w:p>
        </w:tc>
        <w:tc>
          <w:tcPr>
            <w:tcW w:w="175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Non-accelerated filer ☒</w:t>
            </w:r>
          </w:p>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Accelerated filer ☐</w:t>
            </w:r>
          </w:p>
          <w:p>
            <w:pPr>
              <w:pStyle w:val="TableContents"/>
              <w:bidi w:val="0"/>
              <w:spacing w:before="0" w:after="283"/>
              <w:jc w:val="left"/>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0" w:after="120"/>
        <w:jc w:val="both"/>
        <w:rPr>
          <w:rFonts w:ascii="Times New Roman" w:hAnsi="Times New Roman"/>
          <w:sz w:val="20"/>
        </w:rPr>
      </w:pPr>
      <w:r>
        <w:rPr>
          <w:rFonts w:ascii="Times New Roman" w:hAnsi="Times New Roman"/>
          <w:color w:val="000000"/>
          <w:sz w:val="16"/>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hAnsi="Times New Roman"/>
          <w:color w:val="000000"/>
          <w:sz w:val="11"/>
        </w:rPr>
        <w:t></w:t>
      </w:r>
      <w:r>
        <w:rPr>
          <w:rFonts w:ascii="Times New Roman" w:hAnsi="Times New Roman"/>
          <w:color w:val="000000"/>
          <w:sz w:val="20"/>
        </w:rPr>
        <w:t xml:space="preserve"> </w:t>
      </w:r>
      <w:r>
        <w:rPr>
          <w:rFonts w:ascii="Times New Roman" w:hAnsi="Times New Roman"/>
          <w:color w:val="000000"/>
          <w:sz w:val="16"/>
        </w:rPr>
        <w:t xml:space="preserve">provided pursuant to Section 13(a) of the Exchange Act. </w:t>
      </w:r>
      <w:r>
        <w:rPr>
          <w:rFonts w:ascii="Times New Roman" w:hAnsi="Times New Roman"/>
          <w:color w:val="000000"/>
          <w:sz w:val="20"/>
        </w:rPr>
        <w:t>☐</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 The term “new or revised financial accounting standard” refers to any update issued by the Financial Accounting Standards Board to its Accounting Standards Codification after April 5, 2012.</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Indicate by check mark which basis of accounting the registrant has used to prepare the financial statements included in this filing:</w:t>
      </w:r>
    </w:p>
    <w:tbl>
      <w:tblPr>
        <w:tblW w:w="9258" w:type="dxa"/>
        <w:jc w:val="left"/>
        <w:tblInd w:w="0" w:type="dxa"/>
        <w:tblLayout w:type="fixed"/>
        <w:tblCellMar>
          <w:top w:w="28" w:type="dxa"/>
          <w:left w:w="28" w:type="dxa"/>
          <w:bottom w:w="28" w:type="dxa"/>
          <w:right w:w="28" w:type="dxa"/>
        </w:tblCellMar>
      </w:tblPr>
      <w:tblGrid>
        <w:gridCol w:w="1111"/>
        <w:gridCol w:w="7411"/>
        <w:gridCol w:w="736"/>
      </w:tblGrid>
      <w:tr>
        <w:trPr/>
        <w:tc>
          <w:tcPr>
            <w:tcW w:w="111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16"/>
              </w:rPr>
            </w:pPr>
            <w:r>
              <w:rPr>
                <w:rFonts w:ascii="Times New Roman" w:hAnsi="Times New Roman"/>
                <w:color w:val="000000"/>
                <w:sz w:val="16"/>
              </w:rPr>
              <w:t>U.S. GAAP ☒</w:t>
            </w:r>
          </w:p>
        </w:tc>
        <w:tc>
          <w:tcPr>
            <w:tcW w:w="741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16"/>
              </w:rPr>
            </w:pPr>
            <w:r>
              <w:rPr>
                <w:rFonts w:ascii="Times New Roman" w:hAnsi="Times New Roman"/>
                <w:color w:val="000000"/>
                <w:sz w:val="16"/>
              </w:rPr>
              <w:t>International Financial Reporting Standards as issued by the International Accounting Standards Board ☐</w:t>
            </w:r>
          </w:p>
        </w:tc>
        <w:tc>
          <w:tcPr>
            <w:tcW w:w="736" w:type="dxa"/>
            <w:tcBorders/>
            <w:shd w:fill="FFFFFF" w:val="clear"/>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16"/>
              </w:rPr>
            </w:pPr>
            <w:r>
              <w:rPr>
                <w:rFonts w:ascii="Times New Roman" w:hAnsi="Times New Roman"/>
                <w:color w:val="000000"/>
                <w:sz w:val="16"/>
              </w:rPr>
              <w:t>Other ☐</w:t>
            </w:r>
          </w:p>
        </w:tc>
      </w:tr>
    </w:tbl>
    <w:p>
      <w:pPr>
        <w:pStyle w:val="TextBody"/>
        <w:bidi w:val="0"/>
        <w:spacing w:before="120" w:after="120"/>
        <w:jc w:val="both"/>
        <w:rPr>
          <w:rFonts w:ascii="Times New Roman" w:hAnsi="Times New Roman"/>
          <w:sz w:val="20"/>
        </w:rPr>
      </w:pPr>
      <w:r>
        <w:rPr>
          <w:rFonts w:ascii="Times New Roman" w:hAnsi="Times New Roman"/>
          <w:color w:val="000000"/>
          <w:sz w:val="16"/>
        </w:rPr>
        <w:t>If “Other” has been checked in response to the previous question, indicate by check mark which financial statement item the registrant has elected to follow.</w:t>
      </w:r>
      <w:r>
        <w:rPr>
          <w:rFonts w:ascii="Times New Roman" w:hAnsi="Times New Roman"/>
          <w:color w:val="000000"/>
          <w:sz w:val="20"/>
        </w:rPr>
        <w:t xml:space="preserve"> </w:t>
      </w:r>
    </w:p>
    <w:p>
      <w:pPr>
        <w:pStyle w:val="TextBody"/>
        <w:bidi w:val="0"/>
        <w:spacing w:before="0" w:after="120"/>
        <w:jc w:val="both"/>
        <w:rPr/>
      </w:pPr>
      <w:r>
        <w:rPr>
          <w:color w:val="000000"/>
        </w:rPr>
        <w:t xml:space="preserve">☐ </w:t>
      </w:r>
      <w:r>
        <w:rPr>
          <w:rFonts w:ascii="Times New Roman" w:hAnsi="Times New Roman"/>
          <w:color w:val="000000"/>
          <w:sz w:val="16"/>
        </w:rPr>
        <w:t xml:space="preserve">Item 17 </w:t>
      </w:r>
      <w:r>
        <w:rPr>
          <w:rFonts w:ascii="Times New Roman" w:hAnsi="Times New Roman"/>
          <w:color w:val="000000"/>
          <w:sz w:val="20"/>
        </w:rPr>
        <w:t xml:space="preserve">☐ </w:t>
      </w:r>
      <w:r>
        <w:rPr>
          <w:rFonts w:ascii="Times New Roman" w:hAnsi="Times New Roman"/>
          <w:color w:val="000000"/>
          <w:sz w:val="16"/>
        </w:rPr>
        <w:t>Item 18</w:t>
      </w:r>
    </w:p>
    <w:p>
      <w:pPr>
        <w:pStyle w:val="TextBody"/>
        <w:bidi w:val="0"/>
        <w:spacing w:before="0" w:after="120"/>
        <w:jc w:val="both"/>
        <w:rPr>
          <w:rFonts w:ascii="Times New Roman" w:hAnsi="Times New Roman"/>
          <w:sz w:val="20"/>
        </w:rPr>
      </w:pPr>
      <w:r>
        <w:rPr>
          <w:rFonts w:ascii="Times New Roman" w:hAnsi="Times New Roman"/>
          <w:color w:val="000000"/>
          <w:sz w:val="16"/>
        </w:rPr>
        <w:t xml:space="preserve">If this is an annual report, indicate by check mark whether the registrant is a shell company (as defined in Rule 12b-2 of the Exchange Act). </w:t>
      </w:r>
      <w:r>
        <w:rPr>
          <w:rFonts w:ascii="Times New Roman" w:hAnsi="Times New Roman"/>
          <w:color w:val="000000"/>
          <w:sz w:val="20"/>
        </w:rPr>
        <w:t xml:space="preserve">☐ </w:t>
      </w:r>
      <w:r>
        <w:rPr>
          <w:rFonts w:ascii="Times New Roman" w:hAnsi="Times New Roman"/>
          <w:color w:val="000000"/>
          <w:sz w:val="16"/>
        </w:rPr>
        <w:t xml:space="preserve">Yes </w:t>
      </w:r>
      <w:r>
        <w:rPr>
          <w:rFonts w:ascii="Times New Roman" w:hAnsi="Times New Roman"/>
          <w:color w:val="000000"/>
          <w:sz w:val="20"/>
        </w:rPr>
        <w:t xml:space="preserve">☒ </w:t>
      </w:r>
      <w:r>
        <w:rPr>
          <w:rFonts w:ascii="Times New Roman" w:hAnsi="Times New Roman"/>
          <w:color w:val="000000"/>
          <w:sz w:val="16"/>
        </w:rPr>
        <w:t>No</w:t>
      </w:r>
    </w:p>
    <w:p>
      <w:pPr>
        <w:pStyle w:val="TextBody"/>
        <w:bidi w:val="0"/>
        <w:spacing w:before="0" w:after="240"/>
        <w:jc w:val="both"/>
        <w:rPr>
          <w:rFonts w:ascii="Times New Roman" w:hAnsi="Times New Roman"/>
          <w:color w:val="000000"/>
          <w:sz w:val="16"/>
        </w:rPr>
      </w:pPr>
      <w:r>
        <w:rPr>
          <w:rFonts w:ascii="Times New Roman" w:hAnsi="Times New Roman"/>
          <w:color w:val="000000"/>
          <w:sz w:val="16"/>
        </w:rPr>
        <w:t>(APPLICABLE ONLY TO ISSUERS INVOLVED IN BANKRUPTCY PROCEEDINGS DURING THE PAST FIVE YEARS)</w:t>
      </w:r>
    </w:p>
    <w:p>
      <w:pPr>
        <w:pStyle w:val="TextBody"/>
        <w:bidi w:val="0"/>
        <w:spacing w:before="0" w:after="240"/>
        <w:jc w:val="both"/>
        <w:rPr>
          <w:rFonts w:ascii="Times New Roman" w:hAnsi="Times New Roman"/>
          <w:sz w:val="20"/>
        </w:rPr>
      </w:pPr>
      <w:r>
        <w:rPr>
          <w:rFonts w:ascii="Times New Roman" w:hAnsi="Times New Roman"/>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Times New Roman" w:hAnsi="Times New Roman"/>
          <w:color w:val="000000"/>
          <w:sz w:val="20"/>
        </w:rPr>
        <w:t xml:space="preserve">☐ </w:t>
      </w:r>
      <w:r>
        <w:rPr>
          <w:rFonts w:ascii="Times New Roman" w:hAnsi="Times New Roman"/>
          <w:color w:val="000000"/>
          <w:sz w:val="16"/>
        </w:rPr>
        <w:t xml:space="preserve">Yes </w:t>
      </w:r>
      <w:r>
        <w:rPr>
          <w:rFonts w:ascii="Times New Roman" w:hAnsi="Times New Roman"/>
          <w:color w:val="000000"/>
          <w:sz w:val="20"/>
        </w:rPr>
        <w:t xml:space="preserve">☐ </w:t>
      </w:r>
      <w:r>
        <w:rPr>
          <w:rFonts w:ascii="Times New Roman" w:hAnsi="Times New Roman"/>
          <w:color w:val="000000"/>
          <w:sz w:val="16"/>
        </w:rPr>
        <w:t>No</w:t>
      </w:r>
    </w:p>
    <w:p>
      <w:pPr>
        <w:pStyle w:val="TextBody"/>
        <w:bidi w:val="0"/>
        <w:spacing w:before="0" w:after="24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right"/>
        <w:rPr/>
      </w:pPr>
      <w:r>
        <w:rPr/>
        <w:t> </w:t>
      </w:r>
    </w:p>
    <w:tbl>
      <w:tblPr>
        <w:tblW w:w="7031" w:type="dxa"/>
        <w:jc w:val="left"/>
        <w:tblInd w:w="0" w:type="dxa"/>
        <w:tblLayout w:type="fixed"/>
        <w:tblCellMar>
          <w:top w:w="28" w:type="dxa"/>
          <w:left w:w="28" w:type="dxa"/>
          <w:bottom w:w="28" w:type="dxa"/>
          <w:right w:w="28" w:type="dxa"/>
        </w:tblCellMar>
      </w:tblPr>
      <w:tblGrid>
        <w:gridCol w:w="1045"/>
        <w:gridCol w:w="5185"/>
        <w:gridCol w:w="146"/>
        <w:gridCol w:w="655"/>
      </w:tblGrid>
      <w:tr>
        <w:trPr/>
        <w:tc>
          <w:tcPr>
            <w:tcW w:w="1045" w:type="dxa"/>
            <w:tcBorders/>
            <w:vAlign w:val="center"/>
          </w:tcPr>
          <w:p>
            <w:pPr>
              <w:pStyle w:val="TableContents"/>
              <w:bidi w:val="0"/>
              <w:spacing w:before="0" w:after="283"/>
              <w:jc w:val="left"/>
              <w:rPr>
                <w:sz w:val="4"/>
                <w:szCs w:val="4"/>
              </w:rPr>
            </w:pPr>
            <w:r>
              <w:rPr>
                <w:sz w:val="4"/>
                <w:szCs w:val="4"/>
              </w:rPr>
            </w:r>
          </w:p>
        </w:tc>
        <w:tc>
          <w:tcPr>
            <w:tcW w:w="5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623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bottom w:val="single" w:sz="6" w:space="0" w:color="000000"/>
            </w:tcBorders>
            <w:tcMar>
              <w:top w:w="0" w:type="dxa"/>
              <w:left w:w="0" w:type="dxa"/>
              <w:right w:w="0" w:type="dxa"/>
            </w:tcMar>
            <w:vAlign w:val="center"/>
          </w:tcPr>
          <w:p>
            <w:pPr>
              <w:pStyle w:val="TableContents"/>
              <w:bidi w:val="0"/>
              <w:spacing w:before="0" w:after="283"/>
              <w:ind w:left="0" w:right="0" w:firstLine="144"/>
              <w:jc w:val="center"/>
              <w:rPr>
                <w:rFonts w:ascii="Times New Roman" w:hAnsi="Times New Roman"/>
                <w:b/>
                <w:color w:val="000000"/>
                <w:sz w:val="16"/>
              </w:rPr>
            </w:pPr>
            <w:r>
              <w:rPr>
                <w:rFonts w:ascii="Times New Roman" w:hAnsi="Times New Roman"/>
                <w:b/>
                <w:color w:val="000000"/>
                <w:sz w:val="16"/>
              </w:rPr>
              <w:t>Page</w:t>
            </w:r>
          </w:p>
        </w:tc>
      </w:tr>
      <w:tr>
        <w:trPr/>
        <w:tc>
          <w:tcPr>
            <w:tcW w:w="6230" w:type="dxa"/>
            <w:gridSpan w:val="2"/>
            <w:tcBorders/>
            <w:tcMar>
              <w:top w:w="0" w:type="dxa"/>
              <w:left w:w="0" w:type="dxa"/>
              <w:bottom w:w="0" w:type="dxa"/>
              <w:right w:w="0" w:type="dxa"/>
            </w:tcMar>
            <w:vAlign w:val="center"/>
          </w:tcPr>
          <w:p>
            <w:pPr>
              <w:pStyle w:val="TableContents"/>
              <w:bidi w:val="0"/>
              <w:spacing w:before="0" w:after="283"/>
              <w:ind w:left="0" w:right="0" w:firstLine="144"/>
              <w:jc w:val="both"/>
              <w:rPr/>
            </w:pPr>
            <w:hyperlink w:anchor="explanatorynote">
              <w:r>
                <w:rPr>
                  <w:rStyle w:val="InternetLink"/>
                  <w:rFonts w:ascii="Times New Roman" w:hAnsi="Times New Roman"/>
                  <w:color w:val="0000FF"/>
                  <w:sz w:val="20"/>
                  <w:u w:val="single"/>
                </w:rPr>
                <w:t>EXPLANATORY NOTE</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tcMar>
              <w:top w:w="0" w:type="dxa"/>
              <w:left w:w="0" w:type="dxa"/>
              <w:bottom w:w="0" w:type="dxa"/>
              <w:right w:w="0" w:type="dxa"/>
            </w:tcMar>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w:t>
            </w:r>
          </w:p>
        </w:tc>
      </w:tr>
      <w:tr>
        <w:trPr/>
        <w:tc>
          <w:tcPr>
            <w:tcW w:w="6230" w:type="dxa"/>
            <w:gridSpan w:val="2"/>
            <w:tcBorders/>
            <w:tcMar>
              <w:top w:w="0" w:type="dxa"/>
              <w:left w:w="0" w:type="dxa"/>
              <w:bottom w:w="0" w:type="dxa"/>
              <w:right w:w="0" w:type="dxa"/>
            </w:tcMar>
            <w:vAlign w:val="center"/>
          </w:tcPr>
          <w:p>
            <w:pPr>
              <w:pStyle w:val="TableContents"/>
              <w:bidi w:val="0"/>
              <w:spacing w:before="0" w:after="283"/>
              <w:ind w:left="0" w:right="0" w:firstLine="144"/>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tcMar>
              <w:top w:w="0" w:type="dxa"/>
              <w:left w:w="0" w:type="dxa"/>
              <w:bottom w:w="0" w:type="dxa"/>
              <w:right w:w="0" w:type="dxa"/>
            </w:tcMar>
            <w:vAlign w:val="center"/>
          </w:tcPr>
          <w:p>
            <w:pPr>
              <w:pStyle w:val="TableContents"/>
              <w:bidi w:val="0"/>
              <w:spacing w:before="0" w:after="283"/>
              <w:ind w:left="0" w:right="0" w:firstLine="288"/>
              <w:jc w:val="right"/>
              <w:rPr/>
            </w:pPr>
            <w:r>
              <w:rPr/>
              <w:t> </w:t>
            </w:r>
          </w:p>
        </w:tc>
      </w:tr>
      <w:tr>
        <w:trPr/>
        <w:tc>
          <w:tcPr>
            <w:tcW w:w="1045"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ITEM 6.</w:t>
            </w:r>
          </w:p>
        </w:tc>
        <w:tc>
          <w:tcPr>
            <w:tcW w:w="518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item6dande">
              <w:r>
                <w:rPr>
                  <w:rStyle w:val="InternetLink"/>
                  <w:rFonts w:ascii="Times New Roman" w:hAnsi="Times New Roman"/>
                  <w:color w:val="0000FF"/>
                  <w:sz w:val="20"/>
                  <w:u w:val="single"/>
                </w:rPr>
                <w:t>DIRECTORS, SENIOR MANAGEMENT AND EMPLOYEES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1</w:t>
            </w:r>
          </w:p>
        </w:tc>
      </w:tr>
      <w:tr>
        <w:trPr/>
        <w:tc>
          <w:tcPr>
            <w:tcW w:w="1045"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xml:space="preserve">E. </w:t>
            </w:r>
          </w:p>
        </w:tc>
        <w:tc>
          <w:tcPr>
            <w:tcW w:w="518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shareownership">
              <w:r>
                <w:rPr>
                  <w:rStyle w:val="InternetLink"/>
                  <w:rFonts w:ascii="Times New Roman" w:hAnsi="Times New Roman"/>
                  <w:color w:val="0000FF"/>
                  <w:sz w:val="20"/>
                  <w:u w:val="single"/>
                </w:rPr>
                <w:t>SHARE OWNERSHIP</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tcMar>
              <w:top w:w="0" w:type="dxa"/>
              <w:left w:w="0" w:type="dxa"/>
              <w:bottom w:w="0" w:type="dxa"/>
              <w:right w:w="0" w:type="dxa"/>
            </w:tcMar>
            <w:vAlign w:val="center"/>
          </w:tcPr>
          <w:p>
            <w:pPr>
              <w:pStyle w:val="TableContents"/>
              <w:bidi w:val="0"/>
              <w:spacing w:before="0" w:after="283"/>
              <w:ind w:left="0" w:right="0" w:firstLine="288"/>
              <w:jc w:val="right"/>
              <w:rPr>
                <w:rFonts w:ascii="Times New Roman" w:hAnsi="Times New Roman"/>
                <w:color w:val="000000"/>
                <w:sz w:val="20"/>
              </w:rPr>
            </w:pPr>
            <w:r>
              <w:rPr>
                <w:rFonts w:ascii="Times New Roman" w:hAnsi="Times New Roman"/>
                <w:color w:val="000000"/>
                <w:sz w:val="20"/>
              </w:rPr>
              <w:t>1</w:t>
            </w:r>
          </w:p>
        </w:tc>
      </w:tr>
      <w:tr>
        <w:trPr/>
        <w:tc>
          <w:tcPr>
            <w:tcW w:w="1045" w:type="dxa"/>
            <w:tcBorders/>
            <w:tcMar>
              <w:top w:w="0" w:type="dxa"/>
              <w:left w:w="0" w:type="dxa"/>
              <w:bottom w:w="0" w:type="dxa"/>
              <w:right w:w="0" w:type="dxa"/>
            </w:tcMar>
            <w:vAlign w:val="center"/>
          </w:tcPr>
          <w:p>
            <w:pPr>
              <w:pStyle w:val="TableContents"/>
              <w:bidi w:val="0"/>
              <w:spacing w:before="0" w:after="283"/>
              <w:ind w:left="0" w:right="0" w:firstLine="144"/>
              <w:jc w:val="both"/>
              <w:rPr>
                <w:rFonts w:ascii="Times New Roman" w:hAnsi="Times New Roman"/>
                <w:color w:val="000000"/>
                <w:sz w:val="20"/>
              </w:rPr>
            </w:pPr>
            <w:r>
              <w:rPr>
                <w:rFonts w:ascii="Times New Roman" w:hAnsi="Times New Roman"/>
                <w:color w:val="000000"/>
                <w:sz w:val="20"/>
              </w:rPr>
              <w:t>ITEM 19.</w:t>
            </w:r>
          </w:p>
        </w:tc>
        <w:tc>
          <w:tcPr>
            <w:tcW w:w="5185" w:type="dxa"/>
            <w:tcBorders/>
            <w:tcMar>
              <w:top w:w="0" w:type="dxa"/>
              <w:left w:w="0" w:type="dxa"/>
              <w:bottom w:w="0" w:type="dxa"/>
              <w:right w:w="0" w:type="dxa"/>
            </w:tcMar>
            <w:vAlign w:val="center"/>
          </w:tcPr>
          <w:p>
            <w:pPr>
              <w:pStyle w:val="TableContents"/>
              <w:bidi w:val="0"/>
              <w:spacing w:before="0" w:after="283"/>
              <w:ind w:left="0" w:right="0" w:firstLine="144"/>
              <w:jc w:val="both"/>
              <w:rPr/>
            </w:pPr>
            <w:hyperlink w:anchor="exhibits">
              <w:r>
                <w:rPr>
                  <w:rStyle w:val="InternetLink"/>
                  <w:rFonts w:ascii="Times New Roman" w:hAnsi="Times New Roman"/>
                  <w:color w:val="0000FF"/>
                  <w:sz w:val="20"/>
                  <w:u w:val="single"/>
                </w:rPr>
                <w:t>EXHIBITS</w:t>
              </w:r>
            </w:hyperlink>
            <w:hyperlink w:anchor="exhibi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bl>
    <w:p>
      <w:pPr>
        <w:pStyle w:val="TextBody"/>
        <w:bidi w:val="0"/>
        <w:spacing w:before="0" w:after="12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left"/>
        <w:rPr>
          <w:rFonts w:ascii="Times New Roman" w:hAnsi="Times New Roman"/>
          <w:caps/>
          <w:color w:val="000000"/>
          <w:sz w:val="20"/>
        </w:rPr>
      </w:pPr>
      <w:bookmarkStart w:id="2" w:name="explanatorynote"/>
      <w:bookmarkEnd w:id="2"/>
      <w:r>
        <w:rPr>
          <w:rFonts w:ascii="Times New Roman" w:hAnsi="Times New Roman"/>
          <w:caps/>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Amendment No. 1 (“Amendment No. 1”) to our annual report on Form 20-F for the fiscal year ended December 31,2025 originally filed with the U.S. Securities and Exchange Commission on April 7, 2026 (the “Original Filing”) is being filed for the sole purpose of correcting certain inadvertent errors in previously reported beneficial ownership information. The corrected information does not affect the Company’s audited financial statements filed with the Original Filing.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pursuant to Rule 12b-15 under the Securities Exchange Act of 1934, as amended, the certifications pursuant to Section 302 and Section 906 of the Sarbanes-Oxley Act of 2002 have been re-executed as of the date of, and are re-filed as part of, this Amendment No. 1 as Exhibits 12.1 and 12.2.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Other than expressly set forth herein, this Amendment No. 1 does not, and does not purport to, amend or restate any other information contained in the Original Filing nor does this Amendment No. 1 reflect any events that have occurred after the Original Filing was filed.</w:t>
      </w:r>
    </w:p>
    <w:p>
      <w:pPr>
        <w:pStyle w:val="Heading2"/>
        <w:bidi w:val="0"/>
        <w:spacing w:before="0" w:after="240"/>
        <w:jc w:val="both"/>
        <w:rPr>
          <w:rFonts w:ascii="Times New Roman" w:hAnsi="Times New Roman"/>
          <w:color w:val="000000"/>
          <w:sz w:val="20"/>
        </w:rPr>
      </w:pPr>
      <w:bookmarkStart w:id="3" w:name="item6dande"/>
      <w:bookmarkEnd w:id="3"/>
      <w:r>
        <w:rPr>
          <w:rFonts w:ascii="Times New Roman" w:hAnsi="Times New Roman"/>
          <w:color w:val="000000"/>
          <w:sz w:val="20"/>
        </w:rPr>
        <w:t>ITEM 6. DIRECTORS, SENIOR MANAGEMENT AND EMPLOYEES</w:t>
      </w:r>
    </w:p>
    <w:p>
      <w:pPr>
        <w:pStyle w:val="TextBody"/>
        <w:bidi w:val="0"/>
        <w:spacing w:before="0" w:after="240"/>
        <w:jc w:val="both"/>
        <w:rPr>
          <w:rFonts w:ascii="Times New Roman" w:hAnsi="Times New Roman"/>
          <w:b/>
          <w:color w:val="000000"/>
          <w:sz w:val="20"/>
        </w:rPr>
      </w:pPr>
      <w:bookmarkStart w:id="4" w:name="shareownership"/>
      <w:bookmarkEnd w:id="4"/>
      <w:r>
        <w:rPr>
          <w:rFonts w:ascii="Times New Roman" w:hAnsi="Times New Roman"/>
          <w:b/>
          <w:color w:val="000000"/>
          <w:sz w:val="20"/>
        </w:rPr>
        <w:t>E. Share Ownership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table sets forth information with respect to the beneficial ownership of our ordinary shares as of March 24, 2026 by: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of our directors and executive officers;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each person known to us to beneficially own 5% or more of our total outstanding shares.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Percentage of beneficial ownership is based on 265,991,561 total outstanding ordinary shares as of March 24, 2026.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The beneficial owners shown in the table below may hold ordinary shares and/or ADSs. The values in the table are presented on an ordinary share basis for uniformity.</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05" w:type="dxa"/>
        <w:jc w:val="left"/>
        <w:tblInd w:w="0" w:type="dxa"/>
        <w:tblLayout w:type="fixed"/>
        <w:tblCellMar>
          <w:top w:w="28" w:type="dxa"/>
          <w:left w:w="28" w:type="dxa"/>
          <w:bottom w:w="28" w:type="dxa"/>
          <w:right w:w="28" w:type="dxa"/>
        </w:tblCellMar>
      </w:tblPr>
      <w:tblGrid>
        <w:gridCol w:w="3961"/>
        <w:gridCol w:w="146"/>
        <w:gridCol w:w="203"/>
        <w:gridCol w:w="1445"/>
        <w:gridCol w:w="203"/>
        <w:gridCol w:w="203"/>
        <w:gridCol w:w="203"/>
        <w:gridCol w:w="650"/>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Ordinary Shares Beneficially Owned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Number</w:t>
            </w:r>
            <w:r>
              <w:rPr>
                <w:rFonts w:ascii="Times New Roman" w:hAnsi="Times New Roman"/>
                <w:b/>
                <w:color w:val="000000"/>
                <w:sz w:val="12"/>
              </w:rPr>
              <w:t>(1)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Executive Officers:**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Wei Fu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30,499,709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Emmett T. Cunningham, Jr. M.D., Ph.D, MMPH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Chun Kwok Alan Au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262,414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Conor Chia-hung Yang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262,414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Lenz, M.D.,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Xin Liu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Ying Woo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Xi-Yong (Sean) Fu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775,698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Wuxiong Cao, Ph.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101,023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Dennis, M.D., Ph.D.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1,068,824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Ming (Kyler) Lei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Liwei (Lorraine) Lin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Cong (Claire) Xu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741,308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Directors and Executive Officers as a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33,711,390</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Principal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Everest Medicines Limited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42,524,716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C-Bridge entities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30,499,709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 INVESTMENT LIMITED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18,795,651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Hillhouse entities </w:t>
            </w:r>
            <w:r>
              <w:rPr>
                <w:rFonts w:ascii="Times New Roman" w:hAnsi="Times New Roman"/>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13,755,306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___________</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Less than 1% of our total ordinary shares on an as-converted basis outstanding as of March 24,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Except as otherwise indicated below, the business address of our directors and executive officers is 2440 Research Blvd, Suite 400, Rockville, MD 20850,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Includes the amount of ordinary shares underlying options exercisable, and RSUs scheduled to vest, within 60 days of March 24, 2026. For details regarding these grants, see “—B. Compensation” above.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Represents (i) 5,123,549 ADSs (representing 11,784,164 ordinary shares) directly held by CBC Investment I-Mab Limited, a British Virgin Islands limited liability company, (ii) 1,583,284 ADSs (representing 3,641,554 ordinary shares) directly held by IBC Investment Seven Limited, a Hong Kong limited liability company, (iii) 2,423,721 ADSs (representing 5,574,560 ordinary shares) directly held by CBC SPVII LIMITED, a Hong Kong limited liability company, (iv) 1,030,237 ADSs (representing 2,369,546 ordinary shares) directly held by C-Bridge II Investment Ten Limited, a British Virgin Islands limited liability company, and (v) 3,099,950 ADSs (representing 7,129,885 ordinary shares) directly held by Nova Aqua Limited, a British Virgin Islands limited liability company that is held through a trust established by Mr. Wei Fu (as the settlor) for the benefit of Mr. Wei Fu and his family. IBC Investment Seven Limited, CBC SPVII LIMITED, CBC Investment I-Mab Limited and C-Bridge II Investment Ten Limited are collectively referred to as the C-Bridge entities. CBC Investment I-Mab Limited and C-Bridge II Investment Ten Limited are controlled by C-Bridge Healthcare Fund II, L.P., whose general partner is C-Bridge Healthcare Fund GP II, L.P., and its general partner is C-Bridge Capital GP, Ltd. CBC SPVII Limited and IBC Investment Seven Limited are controlled by I-Bridge Healthcare Fund, L.P., whose general partner is I-Bridge Healthcare GP, L.P., and its general partner is I-Bridge Capital GP, Ltd., which is indirectly controlled by C-Bridge Capital GP, Ltd. Mr. Wei Fu is the sole director of C-Bridge Capital GP, Ltd. Information relating to the C-Bridge entities and regarding beneficial ownership is based on the information contained in the Schedule 13D/A filed by the C-Bridge entities on February 3, 2026. The business address of these entities is 88 Market Street, #46-04/05 Capitaspring, Singapore (048948).</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Represents 42,524,716 ordinary shares directly held by Everest Medicines Limited, a Cayman Islands limited liability company. Information relating to Everest Medicines Limited and regarding beneficial ownership is based on the information contained in the Schedule 13D filed by Everest Medicines Limited on August 5, 2025. Everest Medicines Limited is a public company listed on the HKEX and controlled by funds which are under common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control of the C-Bridge entities (as defined below), which, in turn, are controlled by Mr. Wei Fu. The business address of Everest Medicines Limited is 36 Robinson Road, #20-01 City House, Singapore 068877.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Represents 8,172,022 ADSs (representing 18,795,651 ordinary shares) directly held by T INVESTMENT LIMITED. Information regarding beneficial ownership is reported as of November 23, 2023, derived from the information contained in the Schedule 13D filed by T INVESTMENT LIMITED on December 1, 2023, assuming the shares reported thereunder refer to the ADSs. Please see the Schedule 13D filed by T INVESTMENT LIMITED with SEC on December 1, 2023 for information relating to T INVESTMENT LIMITED. The business address of T Investment Limited is Flat B, 4th Floor, Haven Commercial Building 6-8, Tsing Fung Street, Hong Kong.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Represents 5,980,568 ADSs (representing 13,755,306 ordinary shares) held by funds managed by HHLR Advisors, Ltd., or HHLR, an exempted Cayman Islands company. HHLR acts as the sole investment manager of YHG Investment, L.P., or YHG, and the sole management company of HHLR Fund, L.P., or HHLR Fund. HHLR is hereby deemed to be the beneficial owner of, and to control the voting and investment power of, the voting ordinary shares held by YHG and HHLR Fund. HIM acts as the sole management company of Hillhouse Fund IV, L.P., or Fund IV. Fund IV owns HH IMB Holdings Limited, or HH IMB. HIM is hereby deemed to be the beneficial owner of, and to control the voting and investment power of, the voting ordinary shares held by HH IMB. HH IMB, YHG and HHLR Fund are collectively referred to as the Hillhouse entities. Information regarding beneficial ownership is reported as of December 31, 2025, based on the information contained in the Form 13F filed by HHLR on February 17, 2026. The business address of HHLR is Office #122, Windward 3 Building, Regatta Office Park, West Bay Road, Grand Cayman, Cayman Islands, E9 KY1-9006.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our knowledge, as of March 24, 2026, 258,164,444 of our ordinary shares were held by three record holders in the United States, representing approximately 97% of our total outstanding shares, substantially all of which were held by Citibank, N.A. (“Citibank”), the depositary of our ADS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pStyle w:val="Heading2"/>
        <w:bidi w:val="0"/>
        <w:spacing w:before="0" w:after="240"/>
        <w:jc w:val="both"/>
        <w:rPr>
          <w:rFonts w:ascii="Times New Roman" w:hAnsi="Times New Roman"/>
          <w:color w:val="000000"/>
          <w:sz w:val="20"/>
        </w:rPr>
      </w:pPr>
      <w:bookmarkStart w:id="5" w:name="exhibits"/>
      <w:bookmarkEnd w:id="5"/>
      <w:r>
        <w:rPr>
          <w:rFonts w:ascii="Times New Roman" w:hAnsi="Times New Roman"/>
          <w:color w:val="000000"/>
          <w:sz w:val="20"/>
        </w:rPr>
        <w:t xml:space="preserve">ITEM 19. EXHIBITS </w:t>
      </w:r>
    </w:p>
    <w:tbl>
      <w:tblPr>
        <w:tblW w:w="10205" w:type="dxa"/>
        <w:jc w:val="left"/>
        <w:tblInd w:w="0" w:type="dxa"/>
        <w:tblLayout w:type="fixed"/>
        <w:tblCellMar>
          <w:top w:w="28" w:type="dxa"/>
          <w:left w:w="28" w:type="dxa"/>
          <w:bottom w:w="28" w:type="dxa"/>
          <w:right w:w="28" w:type="dxa"/>
        </w:tblCellMar>
      </w:tblPr>
      <w:tblGrid>
        <w:gridCol w:w="872"/>
        <w:gridCol w:w="9333"/>
      </w:tblGrid>
      <w:tr>
        <w:trPr/>
        <w:tc>
          <w:tcPr>
            <w:tcW w:w="872" w:type="dxa"/>
            <w:tcBorders/>
            <w:shd w:fill="FFFFFF" w:val="clear"/>
            <w:vAlign w:val="center"/>
          </w:tcPr>
          <w:p>
            <w:pPr>
              <w:pStyle w:val="TableContents"/>
              <w:bidi w:val="0"/>
              <w:spacing w:before="0" w:after="283"/>
              <w:jc w:val="left"/>
              <w:rPr>
                <w:sz w:val="4"/>
                <w:szCs w:val="4"/>
              </w:rPr>
            </w:pPr>
            <w:r>
              <w:rPr>
                <w:sz w:val="4"/>
                <w:szCs w:val="4"/>
              </w:rPr>
            </w:r>
          </w:p>
        </w:tc>
        <w:tc>
          <w:tcPr>
            <w:tcW w:w="9333" w:type="dxa"/>
            <w:tcBorders/>
            <w:shd w:fill="FFFFFF" w:val="clear"/>
            <w:vAlign w:val="center"/>
          </w:tcPr>
          <w:p>
            <w:pPr>
              <w:pStyle w:val="TableContents"/>
              <w:bidi w:val="0"/>
              <w:spacing w:before="0" w:after="283"/>
              <w:jc w:val="left"/>
              <w:rPr>
                <w:sz w:val="4"/>
                <w:szCs w:val="4"/>
              </w:rPr>
            </w:pPr>
            <w:r>
              <w:rPr>
                <w:sz w:val="4"/>
                <w:szCs w:val="4"/>
              </w:rPr>
            </w:r>
          </w:p>
        </w:tc>
      </w:tr>
      <w:tr>
        <w:trPr/>
        <w:tc>
          <w:tcPr>
            <w:tcW w:w="872" w:type="dxa"/>
            <w:tcBorders/>
            <w:tcMar>
              <w:top w:w="0" w:type="dxa"/>
              <w:left w:w="0" w:type="dxa"/>
              <w:bottom w:w="0" w:type="dxa"/>
              <w:right w:w="0" w:type="dxa"/>
            </w:tcMar>
            <w:vAlign w:val="center"/>
          </w:tcPr>
          <w:p>
            <w:pPr>
              <w:pStyle w:val="TableContents"/>
              <w:pBdr>
                <w:bottom w:val="single" w:sz="4" w:space="1" w:color="000000"/>
              </w:pBdr>
              <w:bidi w:val="0"/>
              <w:spacing w:before="0" w:after="120"/>
              <w:jc w:val="left"/>
              <w:rPr>
                <w:rFonts w:ascii="Times New Roman" w:hAnsi="Times New Roman"/>
                <w:b/>
                <w:color w:val="000000"/>
                <w:sz w:val="20"/>
              </w:rPr>
            </w:pPr>
            <w:r>
              <w:rPr>
                <w:rFonts w:ascii="Times New Roman" w:hAnsi="Times New Roman"/>
                <w:b/>
                <w:color w:val="000000"/>
                <w:sz w:val="20"/>
              </w:rPr>
              <w:t>Exhibit No.</w:t>
            </w:r>
          </w:p>
        </w:tc>
        <w:tc>
          <w:tcPr>
            <w:tcW w:w="9333"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1.1</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2">
              <w:r>
                <w:rPr>
                  <w:rStyle w:val="InternetLink"/>
                  <w:rFonts w:ascii="Times New Roman" w:hAnsi="Times New Roman"/>
                  <w:color w:val="0000FF"/>
                  <w:sz w:val="20"/>
                  <w:u w:val="single"/>
                </w:rPr>
                <w:t>Seventh Amended and Restated Memorandum and Articles of Association of the Registrant (incorporated herein by reference to Exhibit 3.1 to the current report on Form 6-K (File No. 333-234363), filed with the SEC on October 24, 2025)</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2.1</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3">
              <w:r>
                <w:rPr>
                  <w:rStyle w:val="InternetLink"/>
                  <w:rFonts w:ascii="Times New Roman" w:hAnsi="Times New Roman"/>
                  <w:color w:val="0000FF"/>
                  <w:sz w:val="20"/>
                  <w:u w:val="single"/>
                </w:rPr>
                <w:t>Registrant’s Specimen American Depositary Receipt (included in Exhibit 2.3)</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2.2</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4">
              <w:r>
                <w:rPr>
                  <w:rStyle w:val="InternetLink"/>
                  <w:rFonts w:ascii="Times New Roman" w:hAnsi="Times New Roman"/>
                  <w:color w:val="0000FF"/>
                  <w:sz w:val="20"/>
                  <w:u w:val="single"/>
                </w:rPr>
                <w:t>Registrant’s Specimen Certificate for Ordinary Shares (incorporated herein by reference to Exhibit 4.2 to the registration statement on Form F-1 (File No. 333-234363), as amended, initially filed with the SEC on October 29, 2019)</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2.3</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5">
              <w:r>
                <w:rPr>
                  <w:rStyle w:val="InternetLink"/>
                  <w:rFonts w:ascii="Times New Roman" w:hAnsi="Times New Roman"/>
                  <w:color w:val="0000FF"/>
                  <w:sz w:val="20"/>
                  <w:u w:val="single"/>
                </w:rPr>
                <w:t>Deposit Agreement dated as of January 22, 2020, among the Registrant the depositary and holder of the American Depositary Receipt (incorporated herein by reference to Exhibit 4.3 to the registration statement on Form S-8 (File No. 333-239871) filed with the SEC on July 15, 2020)</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2.4</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6">
              <w:r>
                <w:rPr>
                  <w:rStyle w:val="InternetLink"/>
                  <w:rFonts w:ascii="Times New Roman" w:hAnsi="Times New Roman"/>
                  <w:color w:val="0000FF"/>
                  <w:sz w:val="20"/>
                  <w:u w:val="single"/>
                </w:rPr>
                <w:t>Description of American Depositary Shares of the Registrant (incorporated herein by reference to Exhibit 2.5 to the annual report on Form 20-F (File No. 001-39173) filed with the SEC on April 29, 2020)</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2.5</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7">
              <w:r>
                <w:rPr>
                  <w:rStyle w:val="InternetLink"/>
                  <w:rFonts w:ascii="Times New Roman" w:hAnsi="Times New Roman"/>
                  <w:color w:val="0000FF"/>
                  <w:sz w:val="20"/>
                  <w:u w:val="single"/>
                </w:rPr>
                <w:t>Description of Ordinary Shares of the Registrant (incorporated herein by reference to Exhibit 2.6 to the annual report on Form 20-F (File No. 001-39173) filed with the SEC on April 29, 2020)</w:t>
              </w:r>
            </w:hyperlink>
          </w:p>
        </w:tc>
      </w:tr>
      <w:tr>
        <w:trPr/>
        <w:tc>
          <w:tcPr>
            <w:tcW w:w="87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w:t>
            </w:r>
          </w:p>
        </w:tc>
        <w:tc>
          <w:tcPr>
            <w:tcW w:w="9333" w:type="dxa"/>
            <w:tcBorders/>
            <w:tcMar>
              <w:top w:w="0" w:type="dxa"/>
              <w:left w:w="0" w:type="dxa"/>
              <w:bottom w:w="0" w:type="dxa"/>
              <w:right w:w="0" w:type="dxa"/>
            </w:tcMar>
            <w:vAlign w:val="center"/>
          </w:tcPr>
          <w:p>
            <w:pPr>
              <w:pStyle w:val="TableContents"/>
              <w:bidi w:val="0"/>
              <w:spacing w:before="0" w:after="120"/>
              <w:jc w:val="both"/>
              <w:rPr/>
            </w:pPr>
            <w:hyperlink r:id="rId8">
              <w:r>
                <w:rPr>
                  <w:rStyle w:val="InternetLink"/>
                  <w:rFonts w:ascii="Times New Roman" w:hAnsi="Times New Roman"/>
                  <w:color w:val="0000FF"/>
                  <w:sz w:val="20"/>
                  <w:u w:val="single"/>
                </w:rPr>
                <w:t>Certificate of Incorporation on Change of Name (incorporated herein by reference to Exhibit 3.1 to the current report on Form 6-K (File No. 001-39173) furnished with the SEC on October 29, 2025)</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5"/>
        <w:gridCol w:w="9320"/>
      </w:tblGrid>
      <w:tr>
        <w:trPr/>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9320" w:type="dxa"/>
            <w:tcBorders/>
            <w:shd w:fill="FFFFFF" w:val="clear"/>
            <w:vAlign w:val="center"/>
          </w:tcPr>
          <w:p>
            <w:pPr>
              <w:pStyle w:val="TableContents"/>
              <w:bidi w:val="0"/>
              <w:spacing w:before="0" w:after="283"/>
              <w:jc w:val="left"/>
              <w:rPr>
                <w:sz w:val="4"/>
                <w:szCs w:val="4"/>
              </w:rPr>
            </w:pPr>
            <w:r>
              <w:rPr>
                <w:sz w:val="4"/>
                <w:szCs w:val="4"/>
              </w:rPr>
            </w:r>
          </w:p>
        </w:tc>
      </w:tr>
      <w:tr>
        <w:trPr/>
        <w:tc>
          <w:tcPr>
            <w:tcW w:w="885" w:type="dxa"/>
            <w:tcBorders/>
            <w:tcMar>
              <w:top w:w="0" w:type="dxa"/>
              <w:left w:w="0" w:type="dxa"/>
              <w:bottom w:w="0" w:type="dxa"/>
              <w:right w:w="0" w:type="dxa"/>
            </w:tcMar>
            <w:vAlign w:val="center"/>
          </w:tcPr>
          <w:p>
            <w:pPr>
              <w:pStyle w:val="TableContents"/>
              <w:pBdr>
                <w:bottom w:val="single" w:sz="4" w:space="1" w:color="000000"/>
              </w:pBdr>
              <w:bidi w:val="0"/>
              <w:spacing w:before="0" w:after="120"/>
              <w:jc w:val="left"/>
              <w:rPr>
                <w:rFonts w:ascii="Times New Roman" w:hAnsi="Times New Roman"/>
                <w:b/>
                <w:color w:val="000000"/>
                <w:sz w:val="20"/>
              </w:rPr>
            </w:pPr>
            <w:r>
              <w:rPr>
                <w:rFonts w:ascii="Times New Roman" w:hAnsi="Times New Roman"/>
                <w:b/>
                <w:color w:val="000000"/>
                <w:sz w:val="20"/>
              </w:rPr>
              <w:t>Exhibit No.</w:t>
            </w:r>
          </w:p>
        </w:tc>
        <w:tc>
          <w:tcPr>
            <w:tcW w:w="9320"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9">
              <w:r>
                <w:rPr>
                  <w:rStyle w:val="InternetLink"/>
                  <w:rFonts w:ascii="Times New Roman" w:hAnsi="Times New Roman"/>
                  <w:color w:val="0000FF"/>
                  <w:sz w:val="20"/>
                  <w:u w:val="single"/>
                </w:rPr>
                <w:t>Second Amended and Restated 2017 Employee Stock Option Plan (incorporated herein by reference to Exhibit 10.1 to the registration statement on Form F-1 (File No. 333-234363), as amended, initially filed with the SEC on October 29, 2019)</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0">
              <w:r>
                <w:rPr>
                  <w:rStyle w:val="InternetLink"/>
                  <w:rFonts w:ascii="Times New Roman" w:hAnsi="Times New Roman"/>
                  <w:color w:val="0000FF"/>
                  <w:sz w:val="20"/>
                  <w:u w:val="single"/>
                </w:rPr>
                <w:t>Second Amended and Restated 2018 Employee Stock Option Plan (incorporated herein by reference to Exhibit 10.2 to the registration statement on Form F-1 (File No. 333-234363), as amended, initially filed with the SEC on October 29, 2019)</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1">
              <w:r>
                <w:rPr>
                  <w:rStyle w:val="InternetLink"/>
                  <w:rFonts w:ascii="Times New Roman" w:hAnsi="Times New Roman"/>
                  <w:color w:val="0000FF"/>
                  <w:sz w:val="20"/>
                  <w:u w:val="single"/>
                </w:rPr>
                <w:t>2019 Share Incentive Plan (incorporated herein by reference to Exhibit 10.22 to the registration statement on Form F-1 (File No. 333-234363), as amended, initially filed with the SEC on October 29, 2019)</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4.4</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2">
              <w:r>
                <w:rPr>
                  <w:rStyle w:val="InternetLink"/>
                  <w:rFonts w:ascii="Times New Roman" w:hAnsi="Times New Roman"/>
                  <w:color w:val="0000FF"/>
                  <w:sz w:val="20"/>
                  <w:u w:val="single"/>
                </w:rPr>
                <w:t>2020 Share Incentive Plan (incorporated herein by reference to Exhibit 10.4 to the registration statement on Form S-8 (File No. 333-239871) filed with the SEC on July 15, 2020)</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4.5</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3">
              <w:r>
                <w:rPr>
                  <w:rStyle w:val="InternetLink"/>
                  <w:rFonts w:ascii="Times New Roman" w:hAnsi="Times New Roman"/>
                  <w:color w:val="0000FF"/>
                  <w:sz w:val="20"/>
                  <w:u w:val="single"/>
                </w:rPr>
                <w:t>2021 Share Incentive Plan (incorporated herein by reference to Exhibit 10.1 to the registration statement on Form S-8 (File No. 333-256603) filed with the SEC on May 28, 2021)</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4.6</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4">
              <w:r>
                <w:rPr>
                  <w:rStyle w:val="InternetLink"/>
                  <w:rFonts w:ascii="Times New Roman" w:hAnsi="Times New Roman"/>
                  <w:color w:val="0000FF"/>
                  <w:sz w:val="20"/>
                  <w:u w:val="single"/>
                </w:rPr>
                <w:t>2022 Share Incentive Plan (incorporated herein by reference to Exhibit 10.1 to the registration statement on Form S-8 (File No. 333-265684) filed with the SEC on June 17, 2022)</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4.7</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5">
              <w:r>
                <w:rPr>
                  <w:rStyle w:val="InternetLink"/>
                  <w:rFonts w:ascii="Times New Roman" w:hAnsi="Times New Roman"/>
                  <w:color w:val="0000FF"/>
                  <w:sz w:val="20"/>
                  <w:u w:val="single"/>
                </w:rPr>
                <w:t>2024 Omnibus Incentive Plan (incorporated herein by reference to Exhibit 99.1 to the registration statement on Form S-8 (File No. 333-279842) filed with the SEC on May 30, 2024)</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4.8</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6">
              <w:r>
                <w:rPr>
                  <w:rStyle w:val="InternetLink"/>
                  <w:rFonts w:ascii="Times New Roman" w:hAnsi="Times New Roman"/>
                  <w:color w:val="0000FF"/>
                  <w:sz w:val="20"/>
                  <w:u w:val="single"/>
                </w:rPr>
                <w:t>2025 Omnibus Share Incentive Plan (incorporated herein by reference to Exhibit 10.1 to the registration statement on Form S-8 (File No. 333-290195) filed with the SEC on September 11,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4.9</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7">
              <w:r>
                <w:rPr>
                  <w:rStyle w:val="InternetLink"/>
                  <w:rFonts w:ascii="Times New Roman" w:hAnsi="Times New Roman"/>
                  <w:color w:val="0000FF"/>
                  <w:sz w:val="20"/>
                  <w:u w:val="single"/>
                </w:rPr>
                <w:t>2025 Share Incentive Scheme (incorporated herein by reference to Exhibit 10.2 to the registration statement on Form S-8 (File No. 333-290195) filed with the SEC on September 11,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4.10</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8">
              <w:r>
                <w:rPr>
                  <w:rStyle w:val="InternetLink"/>
                  <w:rFonts w:ascii="Times New Roman" w:hAnsi="Times New Roman"/>
                  <w:color w:val="0000FF"/>
                  <w:sz w:val="20"/>
                  <w:u w:val="single"/>
                </w:rPr>
                <w:t>License and Collaboration Agreement, dated as of July 26, 2018, between the Registrant and ABL Bio (incorporated herein by reference to Exhibit 4.12 to the annual report on Form 20-F (File No. 001-39173) filed with the SEC on April 29, 2020)</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4.11</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19">
              <w:r>
                <w:rPr>
                  <w:rStyle w:val="InternetLink"/>
                  <w:rFonts w:ascii="Times New Roman" w:hAnsi="Times New Roman"/>
                  <w:color w:val="0000FF"/>
                  <w:sz w:val="20"/>
                  <w:u w:val="single"/>
                </w:rPr>
                <w:t>Amendment to Collaboration Agreement, dated as of November 5, 2018, between the Registrant and ABL Bio (incorporated herein by reference to Exhibit 4.15 to the annual report on Form 20-F (File No. 001-39173) filed with the SEC on April 3,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4.12</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20">
              <w:r>
                <w:rPr>
                  <w:rStyle w:val="InternetLink"/>
                  <w:rFonts w:ascii="Times New Roman" w:hAnsi="Times New Roman"/>
                  <w:color w:val="0000FF"/>
                  <w:sz w:val="20"/>
                  <w:u w:val="single"/>
                </w:rPr>
                <w:t>Amendment Two to Collaboration Agreement, dated as of November 22, 2018, between the Registrant and ABL Bio</w:t>
              </w:r>
            </w:hyperlink>
            <w:hyperlink r:id="rId21">
              <w:r>
                <w:rPr>
                  <w:rStyle w:val="InternetLink"/>
                  <w:rFonts w:ascii="Times New Roman" w:hAnsi="Times New Roman"/>
                  <w:color w:val="0000FF"/>
                  <w:sz w:val="20"/>
                </w:rPr>
                <w:t xml:space="preserve"> </w:t>
              </w:r>
            </w:hyperlink>
            <w:hyperlink r:id="rId22">
              <w:r>
                <w:rPr>
                  <w:rStyle w:val="InternetLink"/>
                  <w:rFonts w:ascii="Times New Roman" w:hAnsi="Times New Roman"/>
                  <w:color w:val="0000FF"/>
                  <w:sz w:val="20"/>
                  <w:u w:val="single"/>
                </w:rPr>
                <w:t>(incorporated herein by reference to Exhibit 4.16 to the annual report on Form 20-F (File No. 001-39173) filed with the SEC on April 3,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4.13#</w:t>
            </w:r>
          </w:p>
          <w:p>
            <w:pPr>
              <w:pStyle w:val="TableContents"/>
              <w:bidi w:val="0"/>
              <w:spacing w:before="0" w:after="120"/>
              <w:jc w:val="left"/>
              <w:rPr/>
            </w:pPr>
            <w:r>
              <w:rPr/>
              <w:t> </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23">
              <w:r>
                <w:rPr>
                  <w:rStyle w:val="InternetLink"/>
                  <w:rFonts w:ascii="Times New Roman" w:hAnsi="Times New Roman"/>
                  <w:color w:val="0000FF"/>
                  <w:sz w:val="20"/>
                  <w:u w:val="single"/>
                </w:rPr>
                <w:t>Amendment Three to Collaboration Agreement, dated as of May 24, 2019, between the Registrant and ABL Bio (incorporated herein by reference to Exhibit 4.17 to the annual report on Form 20-F (File No. 001-39173) filed with the SEC on April 3,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4.14</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24">
              <w:r>
                <w:rPr>
                  <w:rStyle w:val="InternetLink"/>
                  <w:rFonts w:ascii="Times New Roman" w:hAnsi="Times New Roman"/>
                  <w:color w:val="0000FF"/>
                  <w:sz w:val="20"/>
                  <w:u w:val="single"/>
                </w:rPr>
                <w:t>Amendment Four to Collaboration Agreement, dated as of December 26, 2019, between the Registrant and ABL Bio (incorporated herein by reference to Exhibit 4.18 to the annual report on Form 20-F (File No. 001-39173) filed with the SEC on April 3,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4.15</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25">
              <w:r>
                <w:rPr>
                  <w:rStyle w:val="InternetLink"/>
                  <w:rFonts w:ascii="Times New Roman" w:hAnsi="Times New Roman"/>
                  <w:color w:val="0000FF"/>
                  <w:sz w:val="20"/>
                  <w:u w:val="single"/>
                </w:rPr>
                <w:t>Amendment Five to Collaboration Agreement, dated as of June 30, 2020, between the Registrant and ABL Bio (incorporated herein by reference to Exhibit 4.19 to the annual report on Form 20-F (File No. 001-39173) filed with the SEC on April 3, 2025)</w:t>
              </w:r>
            </w:hyperlink>
          </w:p>
        </w:tc>
      </w:tr>
      <w:tr>
        <w:trPr/>
        <w:tc>
          <w:tcPr>
            <w:tcW w:w="88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4.16</w:t>
            </w:r>
          </w:p>
        </w:tc>
        <w:tc>
          <w:tcPr>
            <w:tcW w:w="9320" w:type="dxa"/>
            <w:tcBorders/>
            <w:tcMar>
              <w:top w:w="0" w:type="dxa"/>
              <w:left w:w="0" w:type="dxa"/>
              <w:bottom w:w="0" w:type="dxa"/>
              <w:right w:w="0" w:type="dxa"/>
            </w:tcMar>
            <w:vAlign w:val="center"/>
          </w:tcPr>
          <w:p>
            <w:pPr>
              <w:pStyle w:val="TableContents"/>
              <w:bidi w:val="0"/>
              <w:spacing w:before="0" w:after="120"/>
              <w:jc w:val="both"/>
              <w:rPr/>
            </w:pPr>
            <w:hyperlink r:id="rId26">
              <w:r>
                <w:rPr>
                  <w:rStyle w:val="InternetLink"/>
                  <w:rFonts w:ascii="Times New Roman" w:hAnsi="Times New Roman"/>
                  <w:color w:val="0000FF"/>
                  <w:sz w:val="20"/>
                  <w:u w:val="single"/>
                </w:rPr>
                <w:t>Amendment Six to Collaboration Agreement, dated as of September 24, 2021, between the Registrant and ABL Bio (incorporated herein by reference to Exhibit 4.20 to the annual report on Form 20-F (File No. 001-39173) filed with the SEC on April 3, 2025)</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5"/>
        <w:gridCol w:w="9370"/>
      </w:tblGrid>
      <w:tr>
        <w:trPr/>
        <w:tc>
          <w:tcPr>
            <w:tcW w:w="835" w:type="dxa"/>
            <w:tcBorders/>
            <w:shd w:fill="FFFFFF" w:val="clear"/>
            <w:vAlign w:val="center"/>
          </w:tcPr>
          <w:p>
            <w:pPr>
              <w:pStyle w:val="TableContents"/>
              <w:bidi w:val="0"/>
              <w:spacing w:before="0" w:after="283"/>
              <w:jc w:val="left"/>
              <w:rPr>
                <w:sz w:val="4"/>
                <w:szCs w:val="4"/>
              </w:rPr>
            </w:pPr>
            <w:r>
              <w:rPr>
                <w:sz w:val="4"/>
                <w:szCs w:val="4"/>
              </w:rPr>
            </w:r>
          </w:p>
        </w:tc>
        <w:tc>
          <w:tcPr>
            <w:tcW w:w="9370" w:type="dxa"/>
            <w:tcBorders/>
            <w:shd w:fill="FFFFFF" w:val="clear"/>
            <w:vAlign w:val="center"/>
          </w:tcPr>
          <w:p>
            <w:pPr>
              <w:pStyle w:val="TableContents"/>
              <w:bidi w:val="0"/>
              <w:spacing w:before="0" w:after="283"/>
              <w:jc w:val="left"/>
              <w:rPr>
                <w:sz w:val="4"/>
                <w:szCs w:val="4"/>
              </w:rPr>
            </w:pPr>
            <w:r>
              <w:rPr>
                <w:sz w:val="4"/>
                <w:szCs w:val="4"/>
              </w:rPr>
            </w:r>
          </w:p>
        </w:tc>
      </w:tr>
      <w:tr>
        <w:trPr/>
        <w:tc>
          <w:tcPr>
            <w:tcW w:w="835" w:type="dxa"/>
            <w:tcBorders/>
            <w:tcMar>
              <w:top w:w="0" w:type="dxa"/>
              <w:left w:w="0" w:type="dxa"/>
              <w:bottom w:w="0" w:type="dxa"/>
              <w:right w:w="0" w:type="dxa"/>
            </w:tcMar>
            <w:vAlign w:val="center"/>
          </w:tcPr>
          <w:p>
            <w:pPr>
              <w:pStyle w:val="TableContents"/>
              <w:pBdr>
                <w:bottom w:val="single" w:sz="4" w:space="1" w:color="000000"/>
              </w:pBdr>
              <w:bidi w:val="0"/>
              <w:spacing w:before="0" w:after="120"/>
              <w:jc w:val="left"/>
              <w:rPr>
                <w:rFonts w:ascii="Times New Roman" w:hAnsi="Times New Roman"/>
                <w:b/>
                <w:color w:val="000000"/>
                <w:sz w:val="20"/>
              </w:rPr>
            </w:pPr>
            <w:r>
              <w:rPr>
                <w:rFonts w:ascii="Times New Roman" w:hAnsi="Times New Roman"/>
                <w:b/>
                <w:color w:val="000000"/>
                <w:sz w:val="20"/>
              </w:rPr>
              <w:t>Exhibit No.</w:t>
            </w:r>
          </w:p>
        </w:tc>
        <w:tc>
          <w:tcPr>
            <w:tcW w:w="9370"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4.17#</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27">
              <w:r>
                <w:rPr>
                  <w:rStyle w:val="InternetLink"/>
                  <w:rFonts w:ascii="Times New Roman" w:hAnsi="Times New Roman"/>
                  <w:color w:val="0000FF"/>
                  <w:sz w:val="20"/>
                  <w:u w:val="single"/>
                </w:rPr>
                <w:t>Amendment Seven to Collaboration Agreement, dated as of May 22, 2024, between the Registrant, ABL Bio and TJ Biopharma (Shanghai) Co., Ltd. (incorporated herein by reference to Exhibit 4.21 to the annual report on Form 20-F (File No. 001-39173) filed with the SEC on April 3, 2025)</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4.18*</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28">
              <w:r>
                <w:rPr>
                  <w:rStyle w:val="InternetLink"/>
                  <w:rFonts w:ascii="Times New Roman" w:hAnsi="Times New Roman"/>
                  <w:color w:val="0000FF"/>
                  <w:sz w:val="20"/>
                  <w:u w:val="single"/>
                </w:rPr>
                <w:t>Amendment Eight to Collaboration Agreement, dated as of November 2, 2025, between the Registrant and ABL Bio (incorporated herein by reference to Exhibit 4.18 to the annual report on Form 20-F (File No. 001-39173) filed with the SEC on April 7, 2026)</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4.19</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29">
              <w:r>
                <w:rPr>
                  <w:rStyle w:val="InternetLink"/>
                  <w:rFonts w:ascii="Times New Roman" w:hAnsi="Times New Roman"/>
                  <w:color w:val="0000FF"/>
                  <w:sz w:val="20"/>
                  <w:u w:val="single"/>
                </w:rPr>
                <w:t>Fourth Amended and Restated Shareholders Agreement, dated as of July 25, 2019 between the Registrant and other parties thereto (incorporated herein by reference to Exhibit 4.4 to the registration statement on Form F-1 (File No. 333-234363), as amended, initially filed with the SEC on October 29, 2019)</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4.20</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0">
              <w:r>
                <w:rPr>
                  <w:rStyle w:val="InternetLink"/>
                  <w:rFonts w:ascii="Times New Roman" w:hAnsi="Times New Roman"/>
                  <w:color w:val="0000FF"/>
                  <w:sz w:val="20"/>
                  <w:u w:val="single"/>
                </w:rPr>
                <w:t>Subscription Agreement, dated as of September 3, 2020, among the Registrant and certain affiliates of Hillhouse (incorporated herein by reference to Exhibit 2 of the Schedule 13D (File No. 005-91674) jointly filed by Hillhouse Capital Advisors, Ltd. and Hillhouse Capital Management, Ltd. with the SEC on September 14, 2020)</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4.21</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1">
              <w:r>
                <w:rPr>
                  <w:rStyle w:val="InternetLink"/>
                  <w:rFonts w:ascii="Times New Roman" w:hAnsi="Times New Roman"/>
                  <w:color w:val="0000FF"/>
                  <w:sz w:val="20"/>
                  <w:u w:val="single"/>
                </w:rPr>
                <w:t>Amendment to Subscription Agreement, dated as of December 17, 2020, among the Registrant and certain affiliates of Hillhouse (incorporated herein by reference to Exhibit 5 of the Schedule 13D/A (File No. 005-91674) jointly filed by Hillhouse Capital Advisors, Ltd. and Hillhouse Capital Management, Ltd. with the SEC on December 21, 2020)</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4.22</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2">
              <w:r>
                <w:rPr>
                  <w:rStyle w:val="InternetLink"/>
                  <w:rFonts w:ascii="Times New Roman" w:hAnsi="Times New Roman"/>
                  <w:color w:val="0000FF"/>
                  <w:sz w:val="20"/>
                  <w:u w:val="single"/>
                </w:rPr>
                <w:t>Form of Subscription Agreement, dated as of September 3, 2020, between the Registrant and certain investors (other than Hillhouse) (incorporated herein by reference to Exhibit 10.17 to the registration statement on Form F-1 (File No. 333- 251050), as amended, initially filed with the SEC on December 1, 2020)</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4.23</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3">
              <w:r>
                <w:rPr>
                  <w:rStyle w:val="InternetLink"/>
                  <w:rFonts w:ascii="Times New Roman" w:hAnsi="Times New Roman"/>
                  <w:color w:val="0000FF"/>
                  <w:sz w:val="20"/>
                  <w:u w:val="single"/>
                </w:rPr>
                <w:t>License and Collaboration Agreement, dated as of September 3, 2020, among I-Mab Shanghai, I-Mab U.S. and AbbVie Ireland Unlimited Company (incorporated herein by reference to Exhibit 10.19 to the registration statement on Form F-1 (File No. 333- 251050), as amended, initially filed with the SEC on December 1, 2020)</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4.24</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4">
              <w:r>
                <w:rPr>
                  <w:rStyle w:val="InternetLink"/>
                  <w:rFonts w:ascii="Times New Roman" w:hAnsi="Times New Roman"/>
                  <w:color w:val="0000FF"/>
                  <w:sz w:val="20"/>
                  <w:u w:val="single"/>
                </w:rPr>
                <w:t>Amendment No.1 to the License and Collaboration Agreement dated as of August 15, 2022 among I-Mab Shanghai, I-Mab U.S. and AbbVie Global Enterprise Ltd. (incorporated herein by reference to Exhibit 4.22 to the annual report on Form 20-F (File No. 001-39173) filed with the SEC on May 1, 2023)</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4.25</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5">
              <w:r>
                <w:rPr>
                  <w:rStyle w:val="InternetLink"/>
                  <w:rFonts w:ascii="Times New Roman" w:hAnsi="Times New Roman"/>
                  <w:color w:val="0000FF"/>
                  <w:sz w:val="20"/>
                  <w:u w:val="single"/>
                </w:rPr>
                <w:t>English translation of Shareholders Agreement, dated as of September 15, 2020, among I-Mab Biopharma (Hangzhou) Co., Ltd. and other parties thereto (incorporated herein by reference to Exhibit 10.21 to the registration statement on Form F-1 (File No. 333-251050), as amended, initially filed with the SEC on December 1, 2020)</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4.26</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6">
              <w:r>
                <w:rPr>
                  <w:rStyle w:val="InternetLink"/>
                  <w:rFonts w:ascii="Times New Roman" w:hAnsi="Times New Roman"/>
                  <w:color w:val="0000FF"/>
                  <w:sz w:val="20"/>
                  <w:u w:val="single"/>
                </w:rPr>
                <w:t>English translation of Equity Transfer Agreement of I-Mab Biopharma Co., Ltd., dated February 6, 2024, entered into by and among I-Mab Bio-tech (Tianjin) Co., Ltd., I-Mab Biopharma (Hangzhou) Co., Ltd. and I-Mab Biopharma Co., Ltd. (incorporated herein by reference to Exhibit 99.2 to the current report on Form 6-K (File No. 001-39173) furnished with the SEC on February 7, 2024)</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4.27</w:t>
            </w:r>
          </w:p>
        </w:tc>
        <w:tc>
          <w:tcPr>
            <w:tcW w:w="9370" w:type="dxa"/>
            <w:tcBorders/>
            <w:tcMar>
              <w:top w:w="0" w:type="dxa"/>
              <w:left w:w="0" w:type="dxa"/>
              <w:bottom w:w="0" w:type="dxa"/>
              <w:right w:w="0" w:type="dxa"/>
            </w:tcMar>
            <w:vAlign w:val="center"/>
          </w:tcPr>
          <w:p>
            <w:pPr>
              <w:pStyle w:val="TableContents"/>
              <w:bidi w:val="0"/>
              <w:spacing w:before="0" w:after="120"/>
              <w:jc w:val="both"/>
              <w:rPr/>
            </w:pPr>
            <w:hyperlink r:id="rId37">
              <w:r>
                <w:rPr>
                  <w:rStyle w:val="InternetLink"/>
                  <w:rFonts w:ascii="Times New Roman" w:hAnsi="Times New Roman"/>
                  <w:color w:val="0000FF"/>
                  <w:sz w:val="20"/>
                  <w:u w:val="single"/>
                </w:rPr>
                <w:t>English translation of Equity Transfer Agreement of I-Mab Biopharma (Hangzhou) Co., Ltd., dated February 6, 2024, entered into by and among I-Mab Biopharma Hong Kong Limited, I-Mab Biopharma (Hangzhou) Co., Ltd. and the other parties thereto (incorporated herein by reference to Exhibit 99.3 to the current report on Form 6-K (File No. 001-39173) furnished with the SEC on February 7, 2024)</w:t>
              </w:r>
            </w:hyperlink>
          </w:p>
        </w:tc>
      </w:tr>
      <w:tr>
        <w:trPr/>
        <w:tc>
          <w:tcPr>
            <w:tcW w:w="83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4.28</w:t>
            </w:r>
          </w:p>
        </w:tc>
        <w:tc>
          <w:tcPr>
            <w:tcW w:w="9370" w:type="dxa"/>
            <w:tcBorders/>
            <w:tcMar>
              <w:top w:w="0" w:type="dxa"/>
              <w:left w:w="0" w:type="dxa"/>
              <w:bottom w:w="0" w:type="dxa"/>
              <w:right w:w="0" w:type="dxa"/>
            </w:tcMar>
            <w:vAlign w:val="center"/>
          </w:tcPr>
          <w:p>
            <w:pPr>
              <w:pStyle w:val="TableContents"/>
              <w:bidi w:val="0"/>
              <w:spacing w:before="0" w:after="283"/>
              <w:jc w:val="both"/>
              <w:rPr/>
            </w:pPr>
            <w:hyperlink r:id="rId38">
              <w:r>
                <w:rPr>
                  <w:rStyle w:val="InternetLink"/>
                  <w:rFonts w:ascii="Times New Roman" w:hAnsi="Times New Roman"/>
                  <w:color w:val="0000FF"/>
                  <w:sz w:val="20"/>
                  <w:u w:val="single"/>
                </w:rPr>
                <w:t>English translation of I-Mab Biopharma (Hangzhou) Co., Ltd. Investment Agreement, dated February 6, 2024, entered into by and among I-Mab, I-Mab Biopharma Co., Ltd., I-Mab Biopharma (Hangzhou) Co., Ltd. and the other parties thereto (incorporated herein by reference to</w:t>
              </w:r>
            </w:hyperlink>
            <w:hyperlink r:id="rId39">
              <w:r>
                <w:rPr>
                  <w:rStyle w:val="InternetLink"/>
                  <w:rFonts w:ascii="Times New Roman" w:hAnsi="Times New Roman"/>
                  <w:color w:val="0000FF"/>
                  <w:sz w:val="20"/>
                </w:rPr>
                <w:t xml:space="preserve"> </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4"/>
        <w:gridCol w:w="9371"/>
      </w:tblGrid>
      <w:tr>
        <w:trPr/>
        <w:tc>
          <w:tcPr>
            <w:tcW w:w="834" w:type="dxa"/>
            <w:tcBorders/>
            <w:shd w:fill="FFFFFF" w:val="clear"/>
            <w:vAlign w:val="center"/>
          </w:tcPr>
          <w:p>
            <w:pPr>
              <w:pStyle w:val="TableContents"/>
              <w:bidi w:val="0"/>
              <w:spacing w:before="0" w:after="283"/>
              <w:jc w:val="left"/>
              <w:rPr>
                <w:sz w:val="4"/>
                <w:szCs w:val="4"/>
              </w:rPr>
            </w:pPr>
            <w:r>
              <w:rPr>
                <w:sz w:val="4"/>
                <w:szCs w:val="4"/>
              </w:rPr>
            </w:r>
          </w:p>
        </w:tc>
        <w:tc>
          <w:tcPr>
            <w:tcW w:w="9371" w:type="dxa"/>
            <w:tcBorders/>
            <w:shd w:fill="FFFFFF" w:val="clear"/>
            <w:vAlign w:val="center"/>
          </w:tcPr>
          <w:p>
            <w:pPr>
              <w:pStyle w:val="TableContents"/>
              <w:bidi w:val="0"/>
              <w:spacing w:before="0" w:after="283"/>
              <w:jc w:val="left"/>
              <w:rPr>
                <w:sz w:val="4"/>
                <w:szCs w:val="4"/>
              </w:rPr>
            </w:pPr>
            <w:r>
              <w:rPr>
                <w:sz w:val="4"/>
                <w:szCs w:val="4"/>
              </w:rPr>
            </w:r>
          </w:p>
        </w:tc>
      </w:tr>
      <w:tr>
        <w:trPr/>
        <w:tc>
          <w:tcPr>
            <w:tcW w:w="834" w:type="dxa"/>
            <w:tcBorders/>
            <w:tcMar>
              <w:top w:w="0" w:type="dxa"/>
              <w:left w:w="0" w:type="dxa"/>
              <w:bottom w:w="0" w:type="dxa"/>
              <w:right w:w="0" w:type="dxa"/>
            </w:tcMar>
            <w:vAlign w:val="center"/>
          </w:tcPr>
          <w:p>
            <w:pPr>
              <w:pStyle w:val="TableContents"/>
              <w:pBdr>
                <w:bottom w:val="single" w:sz="4" w:space="1" w:color="000000"/>
              </w:pBdr>
              <w:bidi w:val="0"/>
              <w:spacing w:before="0" w:after="120"/>
              <w:jc w:val="left"/>
              <w:rPr>
                <w:rFonts w:ascii="Times New Roman" w:hAnsi="Times New Roman"/>
                <w:b/>
                <w:color w:val="000000"/>
                <w:sz w:val="20"/>
              </w:rPr>
            </w:pPr>
            <w:r>
              <w:rPr>
                <w:rFonts w:ascii="Times New Roman" w:hAnsi="Times New Roman"/>
                <w:b/>
                <w:color w:val="000000"/>
                <w:sz w:val="20"/>
              </w:rPr>
              <w:t>Exhibit No.</w:t>
            </w:r>
          </w:p>
        </w:tc>
        <w:tc>
          <w:tcPr>
            <w:tcW w:w="9371"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34" w:type="dxa"/>
            <w:tcBorders/>
            <w:tcMar>
              <w:top w:w="0" w:type="dxa"/>
              <w:left w:w="0" w:type="dxa"/>
              <w:bottom w:w="0" w:type="dxa"/>
              <w:right w:w="0" w:type="dxa"/>
            </w:tcMar>
            <w:vAlign w:val="center"/>
          </w:tcPr>
          <w:p>
            <w:pPr>
              <w:pStyle w:val="TableContents"/>
              <w:bidi w:val="0"/>
              <w:spacing w:before="0" w:after="283"/>
              <w:jc w:val="left"/>
              <w:rPr/>
            </w:pPr>
            <w:r>
              <w:rPr/>
              <w:t> </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0">
              <w:r>
                <w:rPr>
                  <w:rStyle w:val="InternetLink"/>
                  <w:rFonts w:ascii="Times New Roman" w:hAnsi="Times New Roman"/>
                  <w:color w:val="0000FF"/>
                  <w:sz w:val="20"/>
                  <w:u w:val="single"/>
                </w:rPr>
                <w:t>Exhibit 99.4 to the current report on Form 6-K (File No. 001-39173) furnished with the SEC on February 7, 2024)</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4.29</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1">
              <w:r>
                <w:rPr>
                  <w:rStyle w:val="InternetLink"/>
                  <w:rFonts w:ascii="Times New Roman" w:hAnsi="Times New Roman"/>
                  <w:color w:val="0000FF"/>
                  <w:sz w:val="20"/>
                  <w:u w:val="single"/>
                </w:rPr>
                <w:t>English translation of I-Mab Biopharma (Hangzhou) Co., Ltd. Shareholders’ Agreement, dated February 6, 2024, entered into by and among I-Mab, I-Mab Biopharma Hong Kong Limited, I-Mab Biopharma (Hangzhou) Co., Ltd. and the other parties thereto (incorporated herein by reference to Exhibit 99.5 to the current report on Form 6-K (File No. 001-39173) furnished with the SEC on February 7, 2024)</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4.30#</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2">
              <w:r>
                <w:rPr>
                  <w:rStyle w:val="InternetLink"/>
                  <w:rFonts w:ascii="Times New Roman" w:hAnsi="Times New Roman"/>
                  <w:color w:val="0000FF"/>
                  <w:sz w:val="20"/>
                  <w:u w:val="single"/>
                </w:rPr>
                <w:t>Clinical Trial Collaboration Agreement, dated as of June 5, 2024, among I-Mab US and Bristol-Myers Squibb Company (incorporated herein by reference to Exhibit 4.32 to the annual report on Form 20-F (File No. 001-39173) filed with the SEC on April 3,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3">
              <w:r>
                <w:rPr>
                  <w:rStyle w:val="InternetLink"/>
                  <w:rFonts w:ascii="Times New Roman" w:hAnsi="Times New Roman"/>
                  <w:color w:val="0000FF"/>
                  <w:sz w:val="20"/>
                  <w:u w:val="single"/>
                </w:rPr>
                <w:t>Assignment and Assumption Agreement, dated as of October 14, 2025, by and between Visara, Inc. and AffaMed Therapeutics (HK) Limited (incorporated by reference to exhibit 1.2 to the Current Report on Form 6-K/A (File No. 001-39173) furnished with the SEC on October 24,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4.32</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4">
              <w:r>
                <w:rPr>
                  <w:rStyle w:val="InternetLink"/>
                  <w:rFonts w:ascii="Times New Roman" w:hAnsi="Times New Roman"/>
                  <w:color w:val="0000FF"/>
                  <w:sz w:val="20"/>
                  <w:u w:val="single"/>
                </w:rPr>
                <w:t>Exclusive License Agreement, dated November 6, 2021, by and between AskGene Pharma, Inc. and AffaMed Therapeutics (HK) Limited (incorporated by reference to exhibit 1.3 to the Current Report on Form 6-K/A (File No. 001-39173) furnished with the SEC on October 24,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4.33</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5">
              <w:r>
                <w:rPr>
                  <w:rStyle w:val="InternetLink"/>
                  <w:rFonts w:ascii="Times New Roman" w:hAnsi="Times New Roman"/>
                  <w:color w:val="0000FF"/>
                  <w:sz w:val="20"/>
                  <w:u w:val="single"/>
                </w:rPr>
                <w:t>Exclusive License Agreement, dated as of October 15, 2025, by and between AskGene Pharma, Inc. and Visara, Inc. (incorporated by reference to exhibit 1.4 to the Current Report on Form 6-K/A (File No. 001-39173) furnished with the SEC on October 24,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4.34*</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6">
              <w:r>
                <w:rPr>
                  <w:rStyle w:val="InternetLink"/>
                  <w:rFonts w:ascii="Times New Roman" w:hAnsi="Times New Roman"/>
                  <w:color w:val="0000FF"/>
                  <w:sz w:val="20"/>
                  <w:u w:val="single"/>
                </w:rPr>
                <w:t>Assignment and Assumption Agreement, dated October 28, 2025, by and between Visara, Inc., and Everest Medicines (incorporated herein by reference to Exhibit 4.34 to the annual report on Form 20-F (File No. 001-39173) filed with the SEC on April 7, 2026)</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4.35</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7">
              <w:r>
                <w:rPr>
                  <w:rStyle w:val="InternetLink"/>
                  <w:rFonts w:ascii="Times New Roman" w:hAnsi="Times New Roman"/>
                  <w:color w:val="0000FF"/>
                  <w:sz w:val="20"/>
                  <w:u w:val="single"/>
                </w:rPr>
                <w:t>Series A Preferred Stock Subscription Agreement, dated October 14, 2025 by and between Visara, Inc., I-Mab, and AffaMed Therapeutics (HK) Limited (incorporated by reference to exhibit 1.1 to the Current Report on Form 6-K/A ( File No. File No. 001-39173) furnished with the SEC on October 24,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8.1*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8">
              <w:r>
                <w:rPr>
                  <w:rStyle w:val="InternetLink"/>
                  <w:rFonts w:ascii="Times New Roman" w:hAnsi="Times New Roman"/>
                  <w:color w:val="0000FF"/>
                  <w:sz w:val="20"/>
                  <w:u w:val="single"/>
                </w:rPr>
                <w:t>Principal Subsidiaries of the Registrant (incorporated herein by reference to Exhibit 8.1 to the annual report on Form 20-F (File No. 001-39173) filed with the SEC on April 7, 2026)</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11.1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49">
              <w:r>
                <w:rPr>
                  <w:rStyle w:val="InternetLink"/>
                  <w:rFonts w:ascii="Times New Roman" w:hAnsi="Times New Roman"/>
                  <w:color w:val="0000FF"/>
                  <w:sz w:val="20"/>
                  <w:u w:val="single"/>
                </w:rPr>
                <w:t>Code of Business Conduct and Ethics of the Registrant (incorporated herein by reference to Exhibit 11.1 to the annual report on Form 20-F (File No. 001-39173) filed with the SEC on April 3, 2025)</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11.2*</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50">
              <w:r>
                <w:rPr>
                  <w:rStyle w:val="InternetLink"/>
                  <w:rFonts w:ascii="Times New Roman" w:hAnsi="Times New Roman"/>
                  <w:color w:val="0000FF"/>
                  <w:sz w:val="20"/>
                  <w:u w:val="single"/>
                </w:rPr>
                <w:t>Insider Trading Policy of the Registrant (incorporated herein by reference to Exhibit 11.2 to the annual report on Form 20-F (File No. 001-39173) filed with the SEC on April 7, 2026)</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12.1**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w:anchor="nbp-ex12_1.htm">
              <w:r>
                <w:rPr>
                  <w:rStyle w:val="InternetLink"/>
                  <w:rFonts w:ascii="Times New Roman" w:hAnsi="Times New Roman"/>
                  <w:color w:val="0000FF"/>
                  <w:sz w:val="20"/>
                  <w:u w:val="single"/>
                </w:rPr>
                <w:t>Certification by Principal Executive Officer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12.2**</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w:anchor="nbp-ex12_2.htm">
              <w:r>
                <w:rPr>
                  <w:rStyle w:val="InternetLink"/>
                  <w:rFonts w:ascii="Times New Roman" w:hAnsi="Times New Roman"/>
                  <w:color w:val="0000FF"/>
                  <w:sz w:val="20"/>
                  <w:u w:val="single"/>
                </w:rPr>
                <w:t>Certification by Principal Financial Officer Pursuant to Section 302 of the Sarbanes-Oxley Act of 2002</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13.1*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51">
              <w:r>
                <w:rPr>
                  <w:rStyle w:val="InternetLink"/>
                  <w:rFonts w:ascii="Times New Roman" w:hAnsi="Times New Roman"/>
                  <w:color w:val="0000FF"/>
                  <w:sz w:val="20"/>
                  <w:u w:val="single"/>
                </w:rPr>
                <w:t>Certification by Principal Executive Officer Pursuant to Section 906 of the Sarbanes-Oxley Act of 2002 (incorporated herein by reference to Exhibit 13.1 to the annual report on Form 20-F (File No. 001-39173) filed with the SEC on April 7, 2026)</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13.2*</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52">
              <w:r>
                <w:rPr>
                  <w:rStyle w:val="InternetLink"/>
                  <w:rFonts w:ascii="Times New Roman" w:hAnsi="Times New Roman"/>
                  <w:color w:val="0000FF"/>
                  <w:sz w:val="20"/>
                  <w:u w:val="single"/>
                </w:rPr>
                <w:t>Certification by Principal Financial Officer Pursuant to Section 906 of the Sarbanes-Oxley Act of 2002 (incorporated herein by reference to Exhibit 13.2 to the annual report on Form 20-F (File No. 001-39173) filed with the SEC on April 7, 2026)</w:t>
              </w:r>
            </w:hyperlink>
          </w:p>
        </w:tc>
      </w:tr>
      <w:tr>
        <w:trPr/>
        <w:tc>
          <w:tcPr>
            <w:tcW w:w="83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15.1*</w:t>
            </w:r>
          </w:p>
        </w:tc>
        <w:tc>
          <w:tcPr>
            <w:tcW w:w="9371" w:type="dxa"/>
            <w:tcBorders/>
            <w:tcMar>
              <w:top w:w="0" w:type="dxa"/>
              <w:left w:w="0" w:type="dxa"/>
              <w:bottom w:w="0" w:type="dxa"/>
              <w:right w:w="0" w:type="dxa"/>
            </w:tcMar>
            <w:vAlign w:val="center"/>
          </w:tcPr>
          <w:p>
            <w:pPr>
              <w:pStyle w:val="TableContents"/>
              <w:bidi w:val="0"/>
              <w:spacing w:before="0" w:after="120"/>
              <w:jc w:val="both"/>
              <w:rPr/>
            </w:pPr>
            <w:hyperlink r:id="rId53">
              <w:r>
                <w:rPr>
                  <w:rStyle w:val="InternetLink"/>
                  <w:rFonts w:ascii="Times New Roman" w:hAnsi="Times New Roman"/>
                  <w:color w:val="0000FF"/>
                  <w:sz w:val="20"/>
                  <w:u w:val="single"/>
                </w:rPr>
                <w:t>Consent of JunHe LLP (incorporated herein by reference to Exhibit 15.1 to the annual report on Form 20-F (File No. 001-39173) filed with the SEC on April 7, 2026)</w:t>
              </w:r>
            </w:hyperlink>
          </w:p>
        </w:tc>
      </w:tr>
    </w:tbl>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15"/>
        <w:gridCol w:w="9290"/>
      </w:tblGrid>
      <w:tr>
        <w:trPr/>
        <w:tc>
          <w:tcPr>
            <w:tcW w:w="915" w:type="dxa"/>
            <w:tcBorders/>
            <w:shd w:fill="FFFFFF" w:val="clear"/>
            <w:vAlign w:val="center"/>
          </w:tcPr>
          <w:p>
            <w:pPr>
              <w:pStyle w:val="TableContents"/>
              <w:bidi w:val="0"/>
              <w:spacing w:before="0" w:after="283"/>
              <w:jc w:val="left"/>
              <w:rPr>
                <w:sz w:val="4"/>
                <w:szCs w:val="4"/>
              </w:rPr>
            </w:pPr>
            <w:r>
              <w:rPr>
                <w:sz w:val="4"/>
                <w:szCs w:val="4"/>
              </w:rPr>
            </w:r>
          </w:p>
        </w:tc>
        <w:tc>
          <w:tcPr>
            <w:tcW w:w="9290" w:type="dxa"/>
            <w:tcBorders/>
            <w:shd w:fill="FFFFFF" w:val="clear"/>
            <w:vAlign w:val="center"/>
          </w:tcPr>
          <w:p>
            <w:pPr>
              <w:pStyle w:val="TableContents"/>
              <w:bidi w:val="0"/>
              <w:spacing w:before="0" w:after="283"/>
              <w:jc w:val="left"/>
              <w:rPr>
                <w:sz w:val="4"/>
                <w:szCs w:val="4"/>
              </w:rPr>
            </w:pPr>
            <w:r>
              <w:rPr>
                <w:sz w:val="4"/>
                <w:szCs w:val="4"/>
              </w:rPr>
            </w:r>
          </w:p>
        </w:tc>
      </w:tr>
      <w:tr>
        <w:trPr/>
        <w:tc>
          <w:tcPr>
            <w:tcW w:w="915" w:type="dxa"/>
            <w:tcBorders/>
            <w:tcMar>
              <w:top w:w="0" w:type="dxa"/>
              <w:left w:w="0" w:type="dxa"/>
              <w:bottom w:w="0" w:type="dxa"/>
              <w:right w:w="0" w:type="dxa"/>
            </w:tcMar>
            <w:vAlign w:val="center"/>
          </w:tcPr>
          <w:p>
            <w:pPr>
              <w:pStyle w:val="TableContents"/>
              <w:pBdr>
                <w:bottom w:val="single" w:sz="4" w:space="1" w:color="000000"/>
              </w:pBdr>
              <w:bidi w:val="0"/>
              <w:spacing w:before="0" w:after="120"/>
              <w:jc w:val="left"/>
              <w:rPr>
                <w:rFonts w:ascii="Times New Roman" w:hAnsi="Times New Roman"/>
                <w:b/>
                <w:color w:val="000000"/>
                <w:sz w:val="20"/>
              </w:rPr>
            </w:pPr>
            <w:r>
              <w:rPr>
                <w:rFonts w:ascii="Times New Roman" w:hAnsi="Times New Roman"/>
                <w:b/>
                <w:color w:val="000000"/>
                <w:sz w:val="20"/>
              </w:rPr>
              <w:t>Exhibit No.</w:t>
            </w:r>
          </w:p>
        </w:tc>
        <w:tc>
          <w:tcPr>
            <w:tcW w:w="9290" w:type="dxa"/>
            <w:tcBorders/>
            <w:tcMar>
              <w:top w:w="0" w:type="dxa"/>
              <w:left w:w="0" w:type="dxa"/>
              <w:bottom w:w="0" w:type="dxa"/>
              <w:right w:w="0" w:type="dxa"/>
            </w:tcMar>
            <w:vAlign w:val="center"/>
          </w:tcPr>
          <w:p>
            <w:pPr>
              <w:pStyle w:val="TableContents"/>
              <w:pBdr>
                <w:bottom w:val="single" w:sz="4" w:space="1" w:color="000000"/>
              </w:pBdr>
              <w:bidi w:val="0"/>
              <w:spacing w:before="0" w:after="120"/>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15.2*</w:t>
            </w:r>
          </w:p>
        </w:tc>
        <w:tc>
          <w:tcPr>
            <w:tcW w:w="9290" w:type="dxa"/>
            <w:tcBorders/>
            <w:tcMar>
              <w:top w:w="0" w:type="dxa"/>
              <w:left w:w="0" w:type="dxa"/>
              <w:bottom w:w="0" w:type="dxa"/>
              <w:right w:w="0" w:type="dxa"/>
            </w:tcMar>
            <w:vAlign w:val="center"/>
          </w:tcPr>
          <w:p>
            <w:pPr>
              <w:pStyle w:val="TableContents"/>
              <w:bidi w:val="0"/>
              <w:spacing w:before="0" w:after="120"/>
              <w:jc w:val="both"/>
              <w:rPr/>
            </w:pPr>
            <w:hyperlink r:id="rId54">
              <w:r>
                <w:rPr>
                  <w:rStyle w:val="InternetLink"/>
                  <w:rFonts w:ascii="Times New Roman" w:hAnsi="Times New Roman"/>
                  <w:color w:val="0000FF"/>
                  <w:sz w:val="20"/>
                  <w:u w:val="single"/>
                </w:rPr>
                <w:t>Consent of PricewaterhouseCoopers LLP (incorporated herein by reference to Exhibit 15.2 to the annual report on Form 20-F (File No. 001-39173) filed with the SEC on April 7, 2026)</w:t>
              </w:r>
            </w:hyperlink>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15.3*</w:t>
            </w:r>
          </w:p>
        </w:tc>
        <w:tc>
          <w:tcPr>
            <w:tcW w:w="9290" w:type="dxa"/>
            <w:tcBorders/>
            <w:tcMar>
              <w:top w:w="0" w:type="dxa"/>
              <w:left w:w="0" w:type="dxa"/>
              <w:bottom w:w="0" w:type="dxa"/>
              <w:right w:w="0" w:type="dxa"/>
            </w:tcMar>
            <w:vAlign w:val="center"/>
          </w:tcPr>
          <w:p>
            <w:pPr>
              <w:pStyle w:val="TableContents"/>
              <w:bidi w:val="0"/>
              <w:spacing w:before="0" w:after="120"/>
              <w:jc w:val="both"/>
              <w:rPr/>
            </w:pPr>
            <w:hyperlink r:id="rId55">
              <w:r>
                <w:rPr>
                  <w:rStyle w:val="InternetLink"/>
                  <w:rFonts w:ascii="Times New Roman" w:hAnsi="Times New Roman"/>
                  <w:color w:val="0000FF"/>
                  <w:sz w:val="20"/>
                  <w:u w:val="single"/>
                </w:rPr>
                <w:t>Consent of PricewaterhouseCoopers Zhong Tian LLP (incorporated herein by reference to Exhibit 15.3 to the annual report on Form 20-F (File No. 001-39173) filed with the SEC on April 7, 2026)</w:t>
              </w:r>
            </w:hyperlink>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15.4*</w:t>
            </w:r>
          </w:p>
        </w:tc>
        <w:tc>
          <w:tcPr>
            <w:tcW w:w="9290" w:type="dxa"/>
            <w:tcBorders/>
            <w:tcMar>
              <w:top w:w="0" w:type="dxa"/>
              <w:left w:w="0" w:type="dxa"/>
              <w:bottom w:w="0" w:type="dxa"/>
              <w:right w:w="0" w:type="dxa"/>
            </w:tcMar>
            <w:vAlign w:val="center"/>
          </w:tcPr>
          <w:p>
            <w:pPr>
              <w:pStyle w:val="TableContents"/>
              <w:bidi w:val="0"/>
              <w:spacing w:before="0" w:after="120"/>
              <w:jc w:val="both"/>
              <w:rPr/>
            </w:pPr>
            <w:hyperlink r:id="rId56">
              <w:r>
                <w:rPr>
                  <w:rStyle w:val="InternetLink"/>
                  <w:rFonts w:ascii="Times New Roman" w:hAnsi="Times New Roman"/>
                  <w:color w:val="0000FF"/>
                  <w:sz w:val="20"/>
                  <w:u w:val="single"/>
                </w:rPr>
                <w:t>Consent of Harney Westwood &amp; Riegels (incorporated herein by reference to Exhibit 15.4 to the annual report on Form 20-F (File No. 001-39173) filed with the SEC on April 7, 2026)</w:t>
              </w:r>
            </w:hyperlink>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15.5</w:t>
            </w:r>
          </w:p>
        </w:tc>
        <w:tc>
          <w:tcPr>
            <w:tcW w:w="9290" w:type="dxa"/>
            <w:tcBorders/>
            <w:tcMar>
              <w:top w:w="0" w:type="dxa"/>
              <w:left w:w="0" w:type="dxa"/>
              <w:bottom w:w="0" w:type="dxa"/>
              <w:right w:w="0" w:type="dxa"/>
            </w:tcMar>
            <w:vAlign w:val="center"/>
          </w:tcPr>
          <w:p>
            <w:pPr>
              <w:pStyle w:val="TableContents"/>
              <w:bidi w:val="0"/>
              <w:spacing w:before="0" w:after="120"/>
              <w:jc w:val="both"/>
              <w:rPr/>
            </w:pPr>
            <w:hyperlink r:id="rId57">
              <w:r>
                <w:rPr>
                  <w:rStyle w:val="InternetLink"/>
                  <w:rFonts w:ascii="Times New Roman" w:hAnsi="Times New Roman"/>
                  <w:color w:val="0000FF"/>
                  <w:sz w:val="20"/>
                  <w:u w:val="single"/>
                </w:rPr>
                <w:t>Letter from PricewaterhouseCoopers Zhong Tian LLP (incorporated herein by reference to Exhibit 99.2 to the current report on Form 6-K (File No. 001-39173) furnished with the SEC on August 7, 2024)</w:t>
              </w:r>
            </w:hyperlink>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97.1</w:t>
            </w:r>
          </w:p>
        </w:tc>
        <w:tc>
          <w:tcPr>
            <w:tcW w:w="9290" w:type="dxa"/>
            <w:tcBorders/>
            <w:tcMar>
              <w:top w:w="0" w:type="dxa"/>
              <w:left w:w="0" w:type="dxa"/>
              <w:bottom w:w="0" w:type="dxa"/>
              <w:right w:w="0" w:type="dxa"/>
            </w:tcMar>
            <w:vAlign w:val="center"/>
          </w:tcPr>
          <w:p>
            <w:pPr>
              <w:pStyle w:val="TableContents"/>
              <w:bidi w:val="0"/>
              <w:spacing w:before="0" w:after="120"/>
              <w:jc w:val="both"/>
              <w:rPr/>
            </w:pPr>
            <w:hyperlink r:id="rId58">
              <w:r>
                <w:rPr>
                  <w:rStyle w:val="InternetLink"/>
                  <w:rFonts w:ascii="Times New Roman" w:hAnsi="Times New Roman"/>
                  <w:color w:val="0000FF"/>
                  <w:sz w:val="20"/>
                  <w:u w:val="single"/>
                </w:rPr>
                <w:t>Clawback Policy of the Registrant (incorporated herein by reference to Exhibit 97.1 to the annual report on Form 20-F (File No. 001-39173) furnished with the SEC on April 30, 2024)</w:t>
              </w:r>
            </w:hyperlink>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101.INS*</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Inline XBRL Instance Document—this instance document does not appear in the Interactive Data File because its XBRL tags are embedded within the Inline XBRL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101.SCH*</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XBRL Taxonomy Extension Schema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101.CAL*</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XBRL Taxonomy Extension Calculation Linkbase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101.DEF*</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XBRL Taxonomy Extension Definition Linkbase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101.LAB*</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XBRL Taxonomy Extension Label Linkbase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101.PRE*</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XBRL Taxonomy Extension Presentation Linkbase Document</w:t>
            </w:r>
          </w:p>
        </w:tc>
      </w:tr>
      <w:tr>
        <w:trPr/>
        <w:tc>
          <w:tcPr>
            <w:tcW w:w="915"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104</w:t>
            </w:r>
          </w:p>
        </w:tc>
        <w:tc>
          <w:tcPr>
            <w:tcW w:w="929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0" w:after="120"/>
        <w:jc w:val="both"/>
        <w:rPr>
          <w:rFonts w:ascii="Times New Roman" w:hAnsi="Times New Roman"/>
          <w:b w:val="false"/>
          <w:color w:val="000000"/>
          <w:sz w:val="20"/>
        </w:rPr>
      </w:pPr>
      <w:r>
        <w:rPr>
          <w:rFonts w:ascii="Times New Roman" w:hAnsi="Times New Roman"/>
          <w:b w:val="false"/>
          <w:color w:val="000000"/>
          <w:sz w:val="20"/>
        </w:rPr>
        <w:t>___________</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Previously filed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Portions of this exhibit have been omitted pursuant to Item 601(b)(10)(iv) of Regulation 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Certain exhibits and schedules have been omitted pursuant to Item 601(a)(5) of Regulation S-K. The registrant hereby undertakes to furnish supplementally a copy of any omitted exhibit or schedule upon request by the Securities and Exchange Commission.</w:t>
      </w:r>
    </w:p>
    <w:p>
      <w:pPr>
        <w:pStyle w:val="TextBody"/>
        <w:bidi w:val="0"/>
        <w:spacing w:before="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registrant hereby certifies that it meets all of the requirements for filing on Form 20-F and that it has duly caused and authorized the undersigned to sign this Amendment No. 1 to its annual report on its behalf.</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NovaBridge Biosciences</w:t>
      </w:r>
    </w:p>
    <w:p>
      <w:pPr>
        <w:pStyle w:val="TextBody"/>
        <w:bidi w:val="0"/>
        <w:jc w:val="both"/>
        <w:rPr>
          <w:rFonts w:ascii="Times New Roman" w:hAnsi="Times New Roman"/>
          <w:sz w:val="20"/>
        </w:rPr>
      </w:pPr>
      <w:r>
        <w:rPr>
          <w:rFonts w:ascii="Times New Roman" w:hAnsi="Times New Roman"/>
          <w:color w:val="000000"/>
          <w:sz w:val="20"/>
        </w:rPr>
        <w:t xml:space="preserve">By: </w:t>
      </w:r>
      <w:r>
        <w:rPr>
          <w:rFonts w:ascii="Times New Roman" w:hAnsi="Times New Roman"/>
          <w:color w:val="000000"/>
          <w:sz w:val="20"/>
          <w:u w:val="single"/>
        </w:rPr>
        <w:t>/s/ Kyler Lei</w:t>
      </w:r>
      <w:r>
        <w:rPr>
          <w:rFonts w:ascii="Times New Roman" w:hAnsi="Times New Roman"/>
          <w:color w:val="000000"/>
          <w:sz w:val="16"/>
        </w:rPr>
        <w:t>______________________</w:t>
      </w:r>
    </w:p>
    <w:p>
      <w:pPr>
        <w:pStyle w:val="TextBody"/>
        <w:bidi w:val="0"/>
        <w:jc w:val="both"/>
        <w:rPr>
          <w:rFonts w:ascii="Times New Roman" w:hAnsi="Times New Roman"/>
          <w:color w:val="000000"/>
          <w:sz w:val="20"/>
        </w:rPr>
      </w:pPr>
      <w:r>
        <w:rPr>
          <w:rFonts w:ascii="Times New Roman" w:hAnsi="Times New Roman"/>
          <w:color w:val="000000"/>
          <w:sz w:val="20"/>
        </w:rPr>
        <w:t>Name: Kyler Lei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Title: Chief Financial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Date: June 16, 2026</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6" w:name="nbp-ex12_1.htm"/>
      <w:bookmarkStart w:id="7" w:name="ksnbpex12_1"/>
      <w:bookmarkEnd w:id="6"/>
      <w:bookmarkEnd w:id="7"/>
      <w:r>
        <w:rPr>
          <w:rFonts w:ascii="Times New Roman" w:hAnsi="Times New Roman"/>
          <w:b/>
          <w:color w:val="000000"/>
          <w:sz w:val="18"/>
        </w:rPr>
        <w:t>Exhibit 12.1</w:t>
      </w:r>
      <w:r>
        <w:br w:type="page"/>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 xml:space="preserve">Certification by the Principal Executive Officer </w:t>
        <w:br/>
        <w:t>Pursuant to Securities Exchange Act Rules 13a-14(a) and 15d-14(a)</w:t>
        <w:br/>
        <w:t>as adopted pursuant to Section 302 of the Sarbanes-Oxley Act of 2002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 Xi-Yong (Sean) Fu, certify that: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 I have reviewed this annual report on Form 20-F (this “report”) of NovaBridge Biosciences (the “Company”);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Company’s internal control over financial reporting.</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 xml:space="preserve">Date: June 16, 2026 </w:t>
      </w:r>
    </w:p>
    <w:p>
      <w:pPr>
        <w:pStyle w:val="TextBody"/>
        <w:bidi w:val="0"/>
        <w:jc w:val="both"/>
        <w:rPr>
          <w:rFonts w:ascii="Times New Roman" w:hAnsi="Times New Roman"/>
          <w:sz w:val="20"/>
        </w:rPr>
      </w:pPr>
      <w:r>
        <w:rPr>
          <w:rFonts w:ascii="Times New Roman" w:hAnsi="Times New Roman"/>
          <w:color w:val="000000"/>
          <w:sz w:val="18"/>
        </w:rPr>
        <w:t xml:space="preserve">By: </w:t>
      </w:r>
      <w:r>
        <w:rPr>
          <w:rFonts w:ascii="Times New Roman" w:hAnsi="Times New Roman"/>
          <w:color w:val="000000"/>
          <w:sz w:val="18"/>
          <w:u w:val="single"/>
        </w:rPr>
        <w:t xml:space="preserve">/s/ Xi-Yong (Sean) Fu </w:t>
      </w:r>
    </w:p>
    <w:p>
      <w:pPr>
        <w:pStyle w:val="TextBody"/>
        <w:bidi w:val="0"/>
        <w:jc w:val="both"/>
        <w:rPr>
          <w:rFonts w:ascii="Times New Roman" w:hAnsi="Times New Roman"/>
          <w:color w:val="000000"/>
          <w:sz w:val="18"/>
        </w:rPr>
      </w:pPr>
      <w:r>
        <w:rPr>
          <w:rFonts w:ascii="Times New Roman" w:hAnsi="Times New Roman"/>
          <w:color w:val="000000"/>
          <w:sz w:val="18"/>
        </w:rPr>
        <w:t>Name: Xi-Yong (Sean) Fu</w:t>
      </w:r>
    </w:p>
    <w:p>
      <w:pPr>
        <w:pStyle w:val="TextBody"/>
        <w:bidi w:val="0"/>
        <w:jc w:val="left"/>
        <w:rPr>
          <w:rFonts w:ascii="Times New Roman" w:hAnsi="Times New Roman"/>
          <w:sz w:val="20"/>
        </w:rPr>
      </w:pPr>
      <w:r>
        <w:rPr>
          <w:rFonts w:ascii="Times New Roman" w:hAnsi="Times New Roman"/>
          <w:color w:val="000000"/>
          <w:sz w:val="18"/>
        </w:rPr>
        <w:t>Title: Chief Executive Officer</w:t>
        <w:br/>
        <w:t>(</w:t>
      </w:r>
      <w:r>
        <w:rPr>
          <w:rFonts w:ascii="Times New Roman" w:hAnsi="Times New Roman"/>
          <w:i/>
          <w:color w:val="000000"/>
          <w:sz w:val="18"/>
        </w:rPr>
        <w:t>Principal Executive Officer</w:t>
      </w:r>
      <w:r>
        <w:rPr>
          <w:rFonts w:ascii="Times New Roman" w:hAnsi="Times New Roman"/>
          <w:color w:val="000000"/>
          <w:sz w:val="18"/>
        </w:rPr>
        <w: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8" w:name="nbp-ex12_2.htm"/>
      <w:bookmarkStart w:id="9" w:name="ksnbpex12_2"/>
      <w:bookmarkEnd w:id="8"/>
      <w:bookmarkEnd w:id="9"/>
      <w:r>
        <w:rPr>
          <w:rFonts w:ascii="Times New Roman" w:hAnsi="Times New Roman"/>
          <w:b/>
          <w:color w:val="000000"/>
          <w:sz w:val="18"/>
        </w:rPr>
        <w:t>Exhibit 12.2</w:t>
      </w:r>
      <w:r>
        <w:br w:type="page"/>
      </w:r>
    </w:p>
    <w:p>
      <w:pPr>
        <w:pStyle w:val="TextBody"/>
        <w:bidi w:val="0"/>
        <w:spacing w:before="0" w:after="240"/>
        <w:jc w:val="center"/>
        <w:rPr>
          <w:rFonts w:ascii="Times New Roman" w:hAnsi="Times New Roman"/>
          <w:b/>
          <w:color w:val="000000"/>
          <w:sz w:val="18"/>
        </w:rPr>
      </w:pPr>
      <w:r>
        <w:rPr>
          <w:rFonts w:ascii="Times New Roman" w:hAnsi="Times New Roman"/>
          <w:b/>
          <w:color w:val="000000"/>
          <w:sz w:val="18"/>
        </w:rPr>
        <w:t>Certification by the Principal Financial Officer</w:t>
        <w:br/>
        <w:t>Pursuant to Securities Exchange Act Rules 13a-14(a) and 15d-14(a)</w:t>
        <w:br/>
        <w:t>as adopted pursuant to Section 302 of the Sarbanes-Oxley Act of 2002</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I, Kyler Lei, certify that: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1. I have reviewed this annual report on Form 20-F (this “report”) of NovaBridge Biosciences (the “Company”);</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4. 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5. 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(b) Any fraud, whether or not material, that involves management or other employees who have a significant role in the Company’s internal control over financial reporting.</w:t>
      </w:r>
    </w:p>
    <w:p>
      <w:pPr>
        <w:pStyle w:val="TextBody"/>
        <w:bidi w:val="0"/>
        <w:spacing w:before="0" w:after="240"/>
        <w:jc w:val="both"/>
        <w:rPr>
          <w:rFonts w:ascii="Times New Roman" w:hAnsi="Times New Roman"/>
          <w:color w:val="000000"/>
          <w:sz w:val="18"/>
        </w:rPr>
      </w:pPr>
      <w:r>
        <w:rPr>
          <w:rFonts w:ascii="Times New Roman" w:hAnsi="Times New Roman"/>
          <w:color w:val="000000"/>
          <w:sz w:val="18"/>
        </w:rPr>
        <w:t>Date: June 16, 2026</w:t>
      </w:r>
    </w:p>
    <w:p>
      <w:pPr>
        <w:pStyle w:val="TextBody"/>
        <w:bidi w:val="0"/>
        <w:jc w:val="both"/>
        <w:rPr>
          <w:rFonts w:ascii="Times New Roman" w:hAnsi="Times New Roman"/>
          <w:sz w:val="20"/>
        </w:rPr>
      </w:pPr>
      <w:r>
        <w:rPr>
          <w:rFonts w:ascii="Times New Roman" w:hAnsi="Times New Roman"/>
          <w:color w:val="000000"/>
          <w:sz w:val="18"/>
        </w:rPr>
        <w:t xml:space="preserve">By: </w:t>
      </w:r>
      <w:r>
        <w:rPr>
          <w:rFonts w:ascii="Times New Roman" w:hAnsi="Times New Roman"/>
          <w:color w:val="000000"/>
          <w:sz w:val="18"/>
          <w:u w:val="single"/>
        </w:rPr>
        <w:t xml:space="preserve">/s/ Kyler Lei </w:t>
      </w:r>
    </w:p>
    <w:p>
      <w:pPr>
        <w:pStyle w:val="TextBody"/>
        <w:bidi w:val="0"/>
        <w:jc w:val="both"/>
        <w:rPr>
          <w:rFonts w:ascii="Times New Roman" w:hAnsi="Times New Roman"/>
          <w:color w:val="000000"/>
          <w:sz w:val="18"/>
        </w:rPr>
      </w:pPr>
      <w:r>
        <w:rPr>
          <w:rFonts w:ascii="Times New Roman" w:hAnsi="Times New Roman"/>
          <w:color w:val="000000"/>
          <w:sz w:val="18"/>
        </w:rPr>
        <w:t>Name: Kyler Lei</w:t>
      </w:r>
    </w:p>
    <w:p>
      <w:pPr>
        <w:pStyle w:val="TextBody"/>
        <w:bidi w:val="0"/>
        <w:jc w:val="left"/>
        <w:rPr>
          <w:rFonts w:ascii="Times New Roman" w:hAnsi="Times New Roman"/>
          <w:sz w:val="20"/>
        </w:rPr>
      </w:pPr>
      <w:r>
        <w:rPr>
          <w:rFonts w:ascii="Times New Roman" w:hAnsi="Times New Roman"/>
          <w:color w:val="000000"/>
          <w:sz w:val="18"/>
        </w:rPr>
        <w:t>Title: Chief Financial Officer</w:t>
        <w:br/>
      </w:r>
      <w:r>
        <w:rPr>
          <w:rFonts w:ascii="Times New Roman" w:hAnsi="Times New Roman"/>
          <w:i/>
          <w:color w:val="000000"/>
          <w:sz w:val="18"/>
        </w:rPr>
        <w:t>(Principal Financial Officer)</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8016/000119312525250009/imab-ex3_1.htm" TargetMode="External"/><Relationship Id="rId3" Type="http://schemas.openxmlformats.org/officeDocument/2006/relationships/hyperlink" Target="https://www.sec.gov/Archives/edgar/data/1778016/000119312520193325/d75701dex43.htm" TargetMode="External"/><Relationship Id="rId4" Type="http://schemas.openxmlformats.org/officeDocument/2006/relationships/hyperlink" Target="https://www.sec.gov/Archives/edgar/data/1778016/000119312520000969/d713200dex42.htm" TargetMode="External"/><Relationship Id="rId5" Type="http://schemas.openxmlformats.org/officeDocument/2006/relationships/hyperlink" Target="https://www.sec.gov/Archives/edgar/data/1778016/000119312520193325/d75701dex43.htm" TargetMode="External"/><Relationship Id="rId6" Type="http://schemas.openxmlformats.org/officeDocument/2006/relationships/hyperlink" Target="https://www.sec.gov/Archives/edgar/data/1778016/000119312520124785/d882254dex25.htm" TargetMode="External"/><Relationship Id="rId7" Type="http://schemas.openxmlformats.org/officeDocument/2006/relationships/hyperlink" Target="https://www.sec.gov/Archives/edgar/data/1778016/000119312520124785/d882254dex26.htm" TargetMode="External"/><Relationship Id="rId8" Type="http://schemas.openxmlformats.org/officeDocument/2006/relationships/hyperlink" Target="https://www.sec.gov/Archives/edgar/data/1778016/000119312525256295/imab-ex3_1.htm" TargetMode="External"/><Relationship Id="rId9" Type="http://schemas.openxmlformats.org/officeDocument/2006/relationships/hyperlink" Target="https://www.sec.gov/Archives/edgar/data/1778016/000119312520000969/d713200dex101.htm" TargetMode="External"/><Relationship Id="rId10" Type="http://schemas.openxmlformats.org/officeDocument/2006/relationships/hyperlink" Target="https://www.sec.gov/Archives/edgar/data/1778016/000119312520000969/d713200dex102.htm" TargetMode="External"/><Relationship Id="rId11" Type="http://schemas.openxmlformats.org/officeDocument/2006/relationships/hyperlink" Target="https://www.sec.gov/Archives/edgar/data/1778016/000119312519277698/d713200dex1022.htm" TargetMode="External"/><Relationship Id="rId12" Type="http://schemas.openxmlformats.org/officeDocument/2006/relationships/hyperlink" Target="https://www.sec.gov/Archives/edgar/data/1778016/000119312520193325/d75701dex104.htm" TargetMode="External"/><Relationship Id="rId13" Type="http://schemas.openxmlformats.org/officeDocument/2006/relationships/hyperlink" Target="https://www.sec.gov/Archives/edgar/data/1778016/000119312521176896/d572570dex101.htm" TargetMode="External"/><Relationship Id="rId14" Type="http://schemas.openxmlformats.org/officeDocument/2006/relationships/hyperlink" Target="https://www.sec.gov/Archives/edgar/data/1778016/000110465922072363/tm2218782d1_ex10-1.htm" TargetMode="External"/><Relationship Id="rId15" Type="http://schemas.openxmlformats.org/officeDocument/2006/relationships/hyperlink" Target="https://www.sec.gov/Archives/edgar/data/1778016/000110465924066741/tm2414081d1_ex99-1.htm" TargetMode="External"/><Relationship Id="rId16" Type="http://schemas.openxmlformats.org/officeDocument/2006/relationships/hyperlink" Target="https://www.sec.gov/Archives/edgar/data/1778016/000095017025114242/imab-ex10_1.htm" TargetMode="External"/><Relationship Id="rId17" Type="http://schemas.openxmlformats.org/officeDocument/2006/relationships/hyperlink" Target="https://www.sec.gov/Archives/edgar/data/1778016/000095017025114242/imab-ex10_2.htm" TargetMode="External"/><Relationship Id="rId18" Type="http://schemas.openxmlformats.org/officeDocument/2006/relationships/hyperlink" Target="https://www.sec.gov/Archives/edgar/data/1778016/000119312520124785/d882254dex412.htm" TargetMode="External"/><Relationship Id="rId19" Type="http://schemas.openxmlformats.org/officeDocument/2006/relationships/hyperlink" Target="https://www.sec.gov/Archives/edgar/data/1778016/000095017025050344/imab-ex4_15.htm" TargetMode="External"/><Relationship Id="rId20" Type="http://schemas.openxmlformats.org/officeDocument/2006/relationships/hyperlink" Target="https://www.sec.gov/Archives/edgar/data/1778016/000095017025050344/imab-ex4_16.htm" TargetMode="External"/><Relationship Id="rId21" Type="http://schemas.openxmlformats.org/officeDocument/2006/relationships/hyperlink" Target="https://www.sec.gov/Archives/edgar/data/1778016/000095017025050344/imab-ex4_16.htm" TargetMode="External"/><Relationship Id="rId22" Type="http://schemas.openxmlformats.org/officeDocument/2006/relationships/hyperlink" Target="https://www.sec.gov/Archives/edgar/data/1778016/000095017025050344/imab-ex4_15.htm" TargetMode="External"/><Relationship Id="rId23" Type="http://schemas.openxmlformats.org/officeDocument/2006/relationships/hyperlink" Target="https://www.sec.gov/Archives/edgar/data/1778016/000095017025050344/imab-ex4_17.htm" TargetMode="External"/><Relationship Id="rId24" Type="http://schemas.openxmlformats.org/officeDocument/2006/relationships/hyperlink" Target="https://www.sec.gov/Archives/edgar/data/1778016/000095017025050344/imab-ex4_18.htm" TargetMode="External"/><Relationship Id="rId25" Type="http://schemas.openxmlformats.org/officeDocument/2006/relationships/hyperlink" Target="https://www.sec.gov/Archives/edgar/data/1778016/000095017025050344/imab-ex4_19.htm" TargetMode="External"/><Relationship Id="rId26" Type="http://schemas.openxmlformats.org/officeDocument/2006/relationships/hyperlink" Target="https://www.sec.gov/Archives/edgar/data/1778016/000095017025050344/imab-ex4_20.htm" TargetMode="External"/><Relationship Id="rId27" Type="http://schemas.openxmlformats.org/officeDocument/2006/relationships/hyperlink" Target="https://www.sec.gov/Archives/edgar/data/1778016/000095017025050344/imab-ex4_21.htm" TargetMode="External"/><Relationship Id="rId28" Type="http://schemas.openxmlformats.org/officeDocument/2006/relationships/hyperlink" Target="https://www.sec.gov/Archives/edgar/data/1778016/000177801626000002/nbp-ex4_18.htm" TargetMode="External"/><Relationship Id="rId29" Type="http://schemas.openxmlformats.org/officeDocument/2006/relationships/hyperlink" Target="https://www.sec.gov/Archives/edgar/data/1778016/000119312519277698/d713200dex44.htm" TargetMode="External"/><Relationship Id="rId30" Type="http://schemas.openxmlformats.org/officeDocument/2006/relationships/hyperlink" Target="https://www.sec.gov/Archives/edgar/data/1762304/000090266420003304/exhibit_2.htm" TargetMode="External"/><Relationship Id="rId31" Type="http://schemas.openxmlformats.org/officeDocument/2006/relationships/hyperlink" Target="https://www.sec.gov/Archives/edgar/data/1762304/000090266420004318/p20-2069exhibit5.htm" TargetMode="External"/><Relationship Id="rId32" Type="http://schemas.openxmlformats.org/officeDocument/2006/relationships/hyperlink" Target="https://www.sec.gov/Archives/edgar/data/1778016/000119312520307060/d98473dex1017.htm" TargetMode="External"/><Relationship Id="rId33" Type="http://schemas.openxmlformats.org/officeDocument/2006/relationships/hyperlink" Target="https://www.sec.gov/Archives/edgar/data/1778016/000119312520307060/d98473dex1019.htm" TargetMode="External"/><Relationship Id="rId34" Type="http://schemas.openxmlformats.org/officeDocument/2006/relationships/hyperlink" Target="https://www.sec.gov/Archives/edgar/data/1778016/000110465923053462/imab-20221231xex4d22.htm" TargetMode="External"/><Relationship Id="rId35" Type="http://schemas.openxmlformats.org/officeDocument/2006/relationships/hyperlink" Target="https://www.sec.gov/Archives/edgar/data/1778016/000119312520307060/d98473dex1021.htm" TargetMode="External"/><Relationship Id="rId36" Type="http://schemas.openxmlformats.org/officeDocument/2006/relationships/hyperlink" Target="https://www.sec.gov/Archives/edgar/data/1778016/000110465924011359/tm245234d1_ex99-2.htm" TargetMode="External"/><Relationship Id="rId37" Type="http://schemas.openxmlformats.org/officeDocument/2006/relationships/hyperlink" Target="https://www.sec.gov/Archives/edgar/data/1778016/000110465924011359/tm245234d1_ex99-3.htm" TargetMode="External"/><Relationship Id="rId38" Type="http://schemas.openxmlformats.org/officeDocument/2006/relationships/hyperlink" Target="https://www.sec.gov/Archives/edgar/data/1778016/000110465924011359/tm245234d1_ex99-4.htm" TargetMode="External"/><Relationship Id="rId39" Type="http://schemas.openxmlformats.org/officeDocument/2006/relationships/hyperlink" Target="https://www.sec.gov/Archives/edgar/data/1778016/000110465924011359/tm245234d1_ex99-4.htm" TargetMode="External"/><Relationship Id="rId40" Type="http://schemas.openxmlformats.org/officeDocument/2006/relationships/hyperlink" Target="https://www.sec.gov/Archives/edgar/data/1778016/000110465924011359/tm245234d1_ex99-4.htm" TargetMode="External"/><Relationship Id="rId41" Type="http://schemas.openxmlformats.org/officeDocument/2006/relationships/hyperlink" Target="https://www.sec.gov/Archives/edgar/data/1778016/000110465924011359/tm245234d1_ex99-5.htm" TargetMode="External"/><Relationship Id="rId42" Type="http://schemas.openxmlformats.org/officeDocument/2006/relationships/hyperlink" Target="https://www.sec.gov/Archives/edgar/data/1778016/000095017025050344/imab-ex4_32.htm" TargetMode="External"/><Relationship Id="rId43" Type="http://schemas.openxmlformats.org/officeDocument/2006/relationships/hyperlink" Target="https://www.sec.gov/Archives/edgar/data/1778016/000119312525249298/imab-ex1_2.htm" TargetMode="External"/><Relationship Id="rId44" Type="http://schemas.openxmlformats.org/officeDocument/2006/relationships/hyperlink" Target="https://www.sec.gov/Archives/edgar/data/1778016/000119312525249298/imab-ex1_3.htm" TargetMode="External"/><Relationship Id="rId45" Type="http://schemas.openxmlformats.org/officeDocument/2006/relationships/hyperlink" Target="https://www.sec.gov/Archives/edgar/data/1778016/000119312525249298/imab-ex1_4.htm" TargetMode="External"/><Relationship Id="rId46" Type="http://schemas.openxmlformats.org/officeDocument/2006/relationships/hyperlink" Target="https://www.sec.gov/Archives/edgar/data/1778016/000177801626000002/nbp-ex4_34.htm" TargetMode="External"/><Relationship Id="rId47" Type="http://schemas.openxmlformats.org/officeDocument/2006/relationships/hyperlink" Target="https://www.sec.gov/Archives/edgar/data/1778016/000119312525249298/imab-ex1_1.htm" TargetMode="External"/><Relationship Id="rId48" Type="http://schemas.openxmlformats.org/officeDocument/2006/relationships/hyperlink" Target="https://www.sec.gov/Archives/edgar/data/1778016/000177801626000002/nbp-ex8_1.htm" TargetMode="External"/><Relationship Id="rId49" Type="http://schemas.openxmlformats.org/officeDocument/2006/relationships/hyperlink" Target="https://www.sec.gov/Archives/edgar/data/1778016/000095017025050344/imab-ex11_1.htm" TargetMode="External"/><Relationship Id="rId50" Type="http://schemas.openxmlformats.org/officeDocument/2006/relationships/hyperlink" Target="https://www.sec.gov/Archives/edgar/data/1778016/000177801626000002/nbp-ex11_2.htm" TargetMode="External"/><Relationship Id="rId51" Type="http://schemas.openxmlformats.org/officeDocument/2006/relationships/hyperlink" Target="https://www.sec.gov/Archives/edgar/data/1778016/000177801626000002/nbp-ex13_1.htm" TargetMode="External"/><Relationship Id="rId52" Type="http://schemas.openxmlformats.org/officeDocument/2006/relationships/hyperlink" Target="https://www.sec.gov/Archives/edgar/data/1778016/000177801626000002/nbp-ex13_2.htm" TargetMode="External"/><Relationship Id="rId53" Type="http://schemas.openxmlformats.org/officeDocument/2006/relationships/hyperlink" Target="https://www.sec.gov/Archives/edgar/data/1778016/000177801626000002/nbp-ex15_1.htm" TargetMode="External"/><Relationship Id="rId54" Type="http://schemas.openxmlformats.org/officeDocument/2006/relationships/hyperlink" Target="https://www.sec.gov/Archives/edgar/data/1778016/000177801626000002/nbp-ex15_2.htm" TargetMode="External"/><Relationship Id="rId55" Type="http://schemas.openxmlformats.org/officeDocument/2006/relationships/hyperlink" Target="https://www.sec.gov/Archives/edgar/data/1778016/000177801626000002/nbp-ex15_3.htm" TargetMode="External"/><Relationship Id="rId56" Type="http://schemas.openxmlformats.org/officeDocument/2006/relationships/hyperlink" Target="https://www.sec.gov/Archives/edgar/data/1778016/000177801626000002/nbp-ex15_4.htm" TargetMode="External"/><Relationship Id="rId57" Type="http://schemas.openxmlformats.org/officeDocument/2006/relationships/hyperlink" Target="https://www.sec.gov/Archives/edgar/data/1778016/000110465924086547/tm2421036d1_ex99-2.htm" TargetMode="External"/><Relationship Id="rId58" Type="http://schemas.openxmlformats.org/officeDocument/2006/relationships/hyperlink" Target="https://www.sec.gov/Archives/edgar/data/1778016/000110465924054452/imab-20231231xex97d1.htm"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5694</Words>
  <Characters>30334</Characters>
  <CharactersWithSpaces>35849</CharactersWithSpaces>
  <Paragraphs>541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