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tabs>
          <w:tab w:leader="none" w:pos="9540" w:val="left"/>
        </w:tabs>
        <w:rPr>
          <w:sz w:val="20"/>
          <w:szCs w:val="20"/>
          <w:color w:val="auto"/>
        </w:rPr>
      </w:pPr>
      <w:r>
        <w:rPr>
          <w:rFonts w:ascii="Arial" w:cs="Arial" w:eastAsia="Arial" w:hAnsi="Arial"/>
          <w:sz w:val="18"/>
          <w:szCs w:val="18"/>
          <w:b w:val="1"/>
          <w:bCs w:val="1"/>
          <w:color w:val="auto"/>
        </w:rPr>
        <w:t>As filed with the Securities and Exchange Commission on December 17, 2019</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F-6</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18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I-MAB</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11"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Cogency Global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 E.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40" w:type="dxa"/>
            <w:vAlign w:val="bottom"/>
            <w:gridSpan w:val="2"/>
          </w:tcPr>
          <w:p>
            <w:pPr>
              <w:jc w:val="center"/>
              <w:ind w:right="1410"/>
              <w:spacing w:after="0"/>
              <w:rPr>
                <w:sz w:val="20"/>
                <w:szCs w:val="20"/>
                <w:color w:val="auto"/>
              </w:rPr>
            </w:pPr>
            <w:r>
              <w:rPr>
                <w:rFonts w:ascii="Arial" w:cs="Arial" w:eastAsia="Arial" w:hAnsi="Arial"/>
                <w:sz w:val="18"/>
                <w:szCs w:val="18"/>
                <w:color w:val="auto"/>
                <w:w w:val="91"/>
              </w:rPr>
              <w:t>Copies to:</w:t>
            </w: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Z. Julie Gao, Esq.</w:t>
            </w:r>
          </w:p>
        </w:tc>
        <w:tc>
          <w:tcPr>
            <w:tcW w:w="39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3"/>
              </w:rPr>
              <w:t>Haiping Li, Esq.</w:t>
            </w:r>
          </w:p>
        </w:tc>
        <w:tc>
          <w:tcPr>
            <w:tcW w:w="38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Herman H. Raspé, Esq.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39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38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1"/>
              </w:rPr>
              <w:t>c/o 42/F, Edinburgh Tower, The Landmark</w:t>
            </w:r>
          </w:p>
        </w:tc>
        <w:tc>
          <w:tcPr>
            <w:tcW w:w="39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4"/>
              </w:rPr>
              <w:t>JingAn Kerry Centre, Tower II, 46/F</w:t>
            </w:r>
          </w:p>
        </w:tc>
        <w:tc>
          <w:tcPr>
            <w:tcW w:w="38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8"/>
              </w:rPr>
              <w:t>1133 Avenue of the Americas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15 Queen’s Road Central</w:t>
            </w:r>
          </w:p>
        </w:tc>
        <w:tc>
          <w:tcPr>
            <w:tcW w:w="39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1539 Nanjing West Road</w:t>
            </w:r>
          </w:p>
        </w:tc>
        <w:tc>
          <w:tcPr>
            <w:tcW w:w="38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2"/>
              </w:rPr>
              <w:t>New York, New York 10036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Hong Kong</w:t>
            </w:r>
          </w:p>
        </w:tc>
        <w:tc>
          <w:tcPr>
            <w:tcW w:w="39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9"/>
              </w:rPr>
              <w:t>Shanghai, the People’s Republic of China</w:t>
            </w:r>
          </w:p>
        </w:tc>
        <w:tc>
          <w:tcPr>
            <w:tcW w:w="38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0"/>
              </w:rPr>
              <w:t>212-336-2301</w:t>
            </w:r>
          </w:p>
        </w:tc>
        <w:tc>
          <w:tcPr>
            <w:tcW w:w="0" w:type="dxa"/>
            <w:vAlign w:val="bottom"/>
          </w:tcPr>
          <w:p>
            <w:pPr>
              <w:spacing w:after="0"/>
              <w:rPr>
                <w:sz w:val="1"/>
                <w:szCs w:val="1"/>
                <w:color w:val="auto"/>
              </w:rPr>
            </w:pPr>
          </w:p>
        </w:tc>
      </w:tr>
      <w:tr>
        <w:trPr>
          <w:trHeight w:val="220"/>
        </w:trPr>
        <w:tc>
          <w:tcPr>
            <w:tcW w:w="2740" w:type="dxa"/>
            <w:vAlign w:val="bottom"/>
            <w:gridSpan w:val="5"/>
          </w:tcPr>
          <w:p>
            <w:pPr>
              <w:jc w:val="center"/>
              <w:ind w:left="850"/>
              <w:spacing w:after="0"/>
              <w:rPr>
                <w:sz w:val="20"/>
                <w:szCs w:val="20"/>
                <w:color w:val="auto"/>
              </w:rPr>
            </w:pPr>
            <w:r>
              <w:rPr>
                <w:rFonts w:ascii="Arial" w:cs="Arial" w:eastAsia="Arial" w:hAnsi="Arial"/>
                <w:sz w:val="18"/>
                <w:szCs w:val="18"/>
                <w:b w:val="1"/>
                <w:bCs w:val="1"/>
                <w:color w:val="auto"/>
                <w:w w:val="91"/>
              </w:rPr>
              <w:t>+852 3740-4700</w:t>
            </w:r>
          </w:p>
        </w:tc>
        <w:tc>
          <w:tcPr>
            <w:tcW w:w="940" w:type="dxa"/>
            <w:vAlign w:val="bottom"/>
          </w:tcPr>
          <w:p>
            <w:pPr>
              <w:spacing w:after="0"/>
              <w:rPr>
                <w:sz w:val="19"/>
                <w:szCs w:val="19"/>
                <w:color w:val="auto"/>
              </w:rPr>
            </w:pPr>
          </w:p>
        </w:tc>
        <w:tc>
          <w:tcPr>
            <w:tcW w:w="39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0"/>
              </w:rPr>
              <w:t>+86 21-6193-8200</w:t>
            </w:r>
          </w:p>
        </w:tc>
        <w:tc>
          <w:tcPr>
            <w:tcW w:w="1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________________________________</w:t>
            </w:r>
          </w:p>
        </w:tc>
        <w:tc>
          <w:tcPr>
            <w:tcW w:w="1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60" w:type="dxa"/>
            <w:vAlign w:val="bottom"/>
            <w:gridSpan w:val="5"/>
          </w:tcPr>
          <w:p>
            <w:pPr>
              <w:ind w:left="240"/>
              <w:spacing w:after="0"/>
              <w:rPr>
                <w:sz w:val="20"/>
                <w:szCs w:val="20"/>
                <w:color w:val="auto"/>
              </w:rPr>
            </w:pPr>
            <w:r>
              <w:rPr>
                <w:rFonts w:ascii="Arial" w:cs="Arial" w:eastAsia="Arial" w:hAnsi="Arial"/>
                <w:sz w:val="18"/>
                <w:szCs w:val="18"/>
                <w:color w:val="auto"/>
              </w:rPr>
              <w:t>It is proposed that this filing become effective under Rule 466:</w:t>
            </w:r>
          </w:p>
        </w:tc>
        <w:tc>
          <w:tcPr>
            <w:tcW w:w="300" w:type="dxa"/>
            <w:vAlign w:val="bottom"/>
          </w:tcPr>
          <w:p>
            <w:pPr>
              <w:spacing w:after="0"/>
              <w:rPr>
                <w:sz w:val="24"/>
                <w:szCs w:val="24"/>
                <w:color w:val="auto"/>
              </w:rPr>
            </w:pPr>
          </w:p>
        </w:tc>
        <w:tc>
          <w:tcPr>
            <w:tcW w:w="3860" w:type="dxa"/>
            <w:vAlign w:val="bottom"/>
            <w:gridSpan w:val="2"/>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60" w:type="dxa"/>
            <w:vAlign w:val="bottom"/>
            <w:gridSpan w:val="2"/>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8"/>
          </w:tcPr>
          <w:p>
            <w:pPr>
              <w:ind w:left="240"/>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________________________________</w:t>
            </w: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rPr>
              <w:t>CALCULATION OF REGISTRATION FEE</w:t>
            </w:r>
          </w:p>
        </w:tc>
        <w:tc>
          <w:tcPr>
            <w:tcW w:w="19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00" w:type="dxa"/>
            <w:vAlign w:val="bottom"/>
            <w:tcBorders>
              <w:right w:val="single" w:sz="8" w:color="auto"/>
            </w:tcBorders>
            <w:gridSpan w:val="3"/>
          </w:tcPr>
          <w:p>
            <w:pPr>
              <w:jc w:val="center"/>
              <w:ind w:right="780"/>
              <w:spacing w:after="0" w:line="195" w:lineRule="exact"/>
              <w:rPr>
                <w:sz w:val="20"/>
                <w:szCs w:val="20"/>
                <w:color w:val="auto"/>
              </w:rPr>
            </w:pPr>
            <w:r>
              <w:rPr>
                <w:rFonts w:ascii="Arial" w:cs="Arial" w:eastAsia="Arial" w:hAnsi="Arial"/>
                <w:sz w:val="18"/>
                <w:szCs w:val="18"/>
                <w:color w:val="auto"/>
                <w:w w:val="91"/>
              </w:rPr>
              <w:t>Title of Each Class of</w:t>
            </w:r>
          </w:p>
        </w:tc>
        <w:tc>
          <w:tcPr>
            <w:tcW w:w="1660" w:type="dxa"/>
            <w:vAlign w:val="bottom"/>
          </w:tcPr>
          <w:p>
            <w:pPr>
              <w:jc w:val="center"/>
              <w:ind w:left="190"/>
              <w:spacing w:after="0" w:line="195" w:lineRule="exact"/>
              <w:rPr>
                <w:sz w:val="20"/>
                <w:szCs w:val="20"/>
                <w:color w:val="auto"/>
              </w:rPr>
            </w:pPr>
            <w:r>
              <w:rPr>
                <w:rFonts w:ascii="Arial" w:cs="Arial" w:eastAsia="Arial" w:hAnsi="Arial"/>
                <w:sz w:val="18"/>
                <w:szCs w:val="18"/>
                <w:color w:val="auto"/>
                <w:w w:val="91"/>
              </w:rPr>
              <w:t>Amount to be</w:t>
            </w:r>
          </w:p>
        </w:tc>
        <w:tc>
          <w:tcPr>
            <w:tcW w:w="3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00" w:type="dxa"/>
            <w:vAlign w:val="bottom"/>
            <w:tcBorders>
              <w:right w:val="single" w:sz="8" w:color="auto"/>
            </w:tcBorders>
            <w:gridSpan w:val="3"/>
          </w:tcPr>
          <w:p>
            <w:pPr>
              <w:jc w:val="center"/>
              <w:ind w:right="780"/>
              <w:spacing w:after="0"/>
              <w:rPr>
                <w:sz w:val="20"/>
                <w:szCs w:val="20"/>
                <w:color w:val="auto"/>
              </w:rPr>
            </w:pPr>
            <w:r>
              <w:rPr>
                <w:rFonts w:ascii="Arial" w:cs="Arial" w:eastAsia="Arial" w:hAnsi="Arial"/>
                <w:sz w:val="18"/>
                <w:szCs w:val="18"/>
                <w:color w:val="auto"/>
                <w:w w:val="88"/>
              </w:rPr>
              <w:t>Securities to be Registered</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89"/>
              </w:rPr>
              <w:t>Registered</w:t>
            </w:r>
          </w:p>
        </w:tc>
        <w:tc>
          <w:tcPr>
            <w:tcW w:w="3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Aggregate Price Per Unit*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Aggregate Offering</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Registration Fee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Price**</w:t>
            </w:r>
          </w:p>
        </w:tc>
        <w:tc>
          <w:tcPr>
            <w:tcW w:w="1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tcBorders>
              <w:right w:val="single" w:sz="8" w:color="auto"/>
            </w:tcBorders>
            <w:gridSpan w:val="5"/>
          </w:tcPr>
          <w:p>
            <w:pPr>
              <w:spacing w:after="0" w:line="170" w:lineRule="exact"/>
              <w:rPr>
                <w:sz w:val="20"/>
                <w:szCs w:val="20"/>
                <w:color w:val="auto"/>
              </w:rPr>
            </w:pPr>
            <w:r>
              <w:rPr>
                <w:rFonts w:ascii="Arial" w:cs="Arial" w:eastAsia="Arial" w:hAnsi="Arial"/>
                <w:sz w:val="18"/>
                <w:szCs w:val="18"/>
                <w:color w:val="auto"/>
                <w:w w:val="94"/>
              </w:rPr>
              <w:t>American Depositary Shares (ADS(s)), each ten</w:t>
            </w:r>
          </w:p>
        </w:tc>
        <w:tc>
          <w:tcPr>
            <w:tcW w:w="16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5"/>
              </w:rPr>
              <w:t>(10) ADSs represent the right to receive twenty-</w:t>
            </w:r>
          </w:p>
        </w:tc>
        <w:tc>
          <w:tcPr>
            <w:tcW w:w="1660" w:type="dxa"/>
            <w:vAlign w:val="bottom"/>
            <w:vMerge w:val="restart"/>
          </w:tcPr>
          <w:p>
            <w:pPr>
              <w:jc w:val="center"/>
              <w:ind w:left="190"/>
              <w:spacing w:after="0"/>
              <w:rPr>
                <w:sz w:val="20"/>
                <w:szCs w:val="20"/>
                <w:color w:val="auto"/>
              </w:rPr>
            </w:pPr>
            <w:r>
              <w:rPr>
                <w:rFonts w:ascii="Arial" w:cs="Arial" w:eastAsia="Arial" w:hAnsi="Arial"/>
                <w:sz w:val="18"/>
                <w:szCs w:val="18"/>
                <w:color w:val="auto"/>
                <w:w w:val="91"/>
              </w:rPr>
              <w:t>100,000,000 ADSs</w:t>
            </w:r>
          </w:p>
        </w:tc>
        <w:tc>
          <w:tcPr>
            <w:tcW w:w="3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$5.00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$5,000,000</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2"/>
              </w:rPr>
              <w:t>$649.00</w:t>
            </w:r>
          </w:p>
        </w:tc>
        <w:tc>
          <w:tcPr>
            <w:tcW w:w="0" w:type="dxa"/>
            <w:vAlign w:val="bottom"/>
          </w:tcPr>
          <w:p>
            <w:pPr>
              <w:spacing w:after="0"/>
              <w:rPr>
                <w:sz w:val="1"/>
                <w:szCs w:val="1"/>
                <w:color w:val="auto"/>
              </w:rPr>
            </w:pPr>
          </w:p>
        </w:tc>
      </w:tr>
      <w:tr>
        <w:trPr>
          <w:trHeight w:val="122"/>
        </w:trPr>
        <w:tc>
          <w:tcPr>
            <w:tcW w:w="368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three (23) ordinary shares of I-Mab (the</w:t>
            </w:r>
          </w:p>
        </w:tc>
        <w:tc>
          <w:tcPr>
            <w:tcW w:w="1660" w:type="dxa"/>
            <w:vAlign w:val="bottom"/>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80" w:type="dxa"/>
            <w:vAlign w:val="bottom"/>
            <w:tcBorders>
              <w:right w:val="single" w:sz="8" w:color="auto"/>
            </w:tcBorders>
            <w:gridSpan w:val="6"/>
            <w:vMerge w:val="continue"/>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680" w:type="dxa"/>
            <w:vAlign w:val="bottom"/>
            <w:tcBorders>
              <w:right w:val="single" w:sz="8" w:color="auto"/>
            </w:tcBorders>
            <w:gridSpan w:val="6"/>
          </w:tcPr>
          <w:p>
            <w:pPr>
              <w:spacing w:after="0" w:line="190" w:lineRule="exact"/>
              <w:rPr>
                <w:sz w:val="20"/>
                <w:szCs w:val="20"/>
                <w:color w:val="auto"/>
              </w:rPr>
            </w:pPr>
            <w:r>
              <w:rPr>
                <w:rFonts w:ascii="Arial" w:cs="Arial" w:eastAsia="Arial" w:hAnsi="Arial"/>
                <w:sz w:val="18"/>
                <w:szCs w:val="18"/>
                <w:color w:val="auto"/>
              </w:rPr>
              <w:t>“Company”)</w:t>
            </w:r>
          </w:p>
        </w:tc>
        <w:tc>
          <w:tcPr>
            <w:tcW w:w="1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ADSs.</w:t>
      </w:r>
    </w:p>
    <w:p>
      <w:pPr>
        <w:spacing w:after="0" w:line="23" w:lineRule="exact"/>
        <w:rPr>
          <w:sz w:val="24"/>
          <w:szCs w:val="24"/>
          <w:color w:val="auto"/>
        </w:rPr>
      </w:pPr>
    </w:p>
    <w:p>
      <w:pPr>
        <w:ind w:left="320" w:right="420" w:hanging="312"/>
        <w:spacing w:after="0" w:line="261"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11" w:lineRule="exact"/>
        <w:rPr>
          <w:sz w:val="24"/>
          <w:szCs w:val="24"/>
          <w:color w:val="auto"/>
        </w:rPr>
      </w:pPr>
    </w:p>
    <w:p>
      <w:pPr>
        <w:ind w:left="320" w:right="740"/>
        <w:spacing w:after="0" w:line="335" w:lineRule="auto"/>
        <w:rPr>
          <w:sz w:val="20"/>
          <w:szCs w:val="20"/>
          <w:color w:val="auto"/>
        </w:rPr>
      </w:pPr>
      <w:r>
        <w:rPr>
          <w:rFonts w:ascii="Arial" w:cs="Arial" w:eastAsia="Arial" w:hAnsi="Arial"/>
          <w:sz w:val="19"/>
          <w:szCs w:val="19"/>
          <w:b w:val="1"/>
          <w:bCs w:val="1"/>
          <w:color w:val="auto"/>
        </w:rPr>
        <w:t>The Registrant hereby amends this Registration Statement on such date or dates as may be necessary to delay its effective date until the Registrant shall file a further amendment which specifically states that this Registration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99" w:orient="portrait"/>
          <w:cols w:equalWidth="0" w:num="1">
            <w:col w:w="11420"/>
          </w:cols>
          <w:pgMar w:left="240" w:top="472" w:right="239" w:bottom="0" w:gutter="0" w:footer="0" w:header="0"/>
        </w:sectPr>
      </w:pPr>
    </w:p>
    <w:bookmarkStart w:id="1" w:name="page2"/>
    <w:bookmarkEnd w:id="1"/>
    <w:p>
      <w:pPr>
        <w:spacing w:after="0" w:line="243" w:lineRule="auto"/>
        <w:rPr>
          <w:sz w:val="20"/>
          <w:szCs w:val="20"/>
          <w:color w:val="auto"/>
        </w:rPr>
      </w:pPr>
      <w:r>
        <w:rPr>
          <w:rFonts w:ascii="Arial" w:cs="Arial" w:eastAsia="Arial" w:hAnsi="Arial"/>
          <w:sz w:val="22"/>
          <w:szCs w:val="22"/>
          <w:b w:val="1"/>
          <w:bCs w:val="1"/>
          <w:color w:val="auto"/>
        </w:rPr>
        <w:t>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215900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560" w:top="111" w:right="299" w:bottom="1440" w:gutter="0" w:footer="0" w:header="0"/>
        </w:sectPr>
      </w:pPr>
    </w:p>
    <w:bookmarkStart w:id="2" w:name="page3"/>
    <w:bookmarkEnd w:id="2"/>
    <w:p>
      <w:pPr>
        <w:ind w:left="100" w:right="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jc w:val="center"/>
              <w:ind w:left="263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0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jc w:val="center"/>
              <w:ind w:left="2650"/>
              <w:spacing w:after="0"/>
              <w:rPr>
                <w:sz w:val="20"/>
                <w:szCs w:val="20"/>
                <w:color w:val="auto"/>
              </w:rPr>
            </w:pPr>
            <w:r>
              <w:rPr>
                <w:rFonts w:ascii="Arial" w:cs="Arial" w:eastAsia="Arial" w:hAnsi="Arial"/>
                <w:sz w:val="18"/>
                <w:szCs w:val="18"/>
                <w:b w:val="1"/>
                <w:bCs w:val="1"/>
                <w:color w:val="auto"/>
                <w:w w:val="87"/>
              </w:rPr>
              <w:t>Cross Reference Sheet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70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2340" w:type="dxa"/>
            <w:vAlign w:val="bottom"/>
          </w:tcPr>
          <w:p>
            <w:pPr>
              <w:spacing w:after="0"/>
              <w:rPr>
                <w:sz w:val="17"/>
                <w:szCs w:val="17"/>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(ix)</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3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3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1120" w:type="dxa"/>
            <w:vAlign w:val="bottom"/>
          </w:tcPr>
          <w:p>
            <w:pPr>
              <w:spacing w:after="0"/>
              <w:rPr>
                <w:sz w:val="17"/>
                <w:szCs w:val="17"/>
                <w:color w:val="auto"/>
              </w:rPr>
            </w:pPr>
          </w:p>
        </w:tc>
      </w:tr>
      <w:tr>
        <w:trPr>
          <w:trHeight w:val="412"/>
        </w:trPr>
        <w:tc>
          <w:tcPr>
            <w:tcW w:w="3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(x)</w:t>
            </w: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Limitation upon the liability of the Depositary</w:t>
            </w:r>
          </w:p>
        </w:tc>
        <w:tc>
          <w:tcPr>
            <w:tcW w:w="33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360" w:type="dxa"/>
            <w:vAlign w:val="bottom"/>
            <w:gridSpan w:val="5"/>
          </w:tcPr>
          <w:p>
            <w:pPr>
              <w:spacing w:after="0" w:line="196" w:lineRule="exact"/>
              <w:rPr>
                <w:sz w:val="20"/>
                <w:szCs w:val="20"/>
                <w:color w:val="auto"/>
              </w:rPr>
            </w:pPr>
            <w:r>
              <w:rPr>
                <w:rFonts w:ascii="Arial" w:cs="Arial" w:eastAsia="Arial" w:hAnsi="Arial"/>
                <w:sz w:val="18"/>
                <w:szCs w:val="18"/>
                <w:color w:val="auto"/>
                <w:w w:val="88"/>
              </w:rPr>
              <w:t>Reverse of Receipt - Paragraphs (20) and (21).</w:t>
            </w:r>
          </w:p>
        </w:tc>
      </w:tr>
      <w:tr>
        <w:trPr>
          <w:trHeight w:val="20"/>
        </w:trPr>
        <w:tc>
          <w:tcPr>
            <w:tcW w:w="3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34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Fees and charges which may be imposed directly or indirectly on holders of</w:t>
            </w:r>
          </w:p>
        </w:tc>
        <w:tc>
          <w:tcPr>
            <w:tcW w:w="3360" w:type="dxa"/>
            <w:vAlign w:val="bottom"/>
            <w:gridSpan w:val="5"/>
          </w:tcPr>
          <w:p>
            <w:pPr>
              <w:spacing w:after="0" w:line="196" w:lineRule="exact"/>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ADSs</w:t>
            </w:r>
          </w:p>
        </w:tc>
        <w:tc>
          <w:tcPr>
            <w:tcW w:w="10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660" w:type="dxa"/>
            <w:vAlign w:val="bottom"/>
            <w:gridSpan w:val="2"/>
          </w:tcPr>
          <w:p>
            <w:pPr>
              <w:ind w:left="560"/>
              <w:spacing w:after="0"/>
              <w:rPr>
                <w:sz w:val="20"/>
                <w:szCs w:val="20"/>
                <w:color w:val="auto"/>
              </w:rPr>
            </w:pPr>
            <w:r>
              <w:rPr>
                <w:rFonts w:ascii="Arial" w:cs="Arial" w:eastAsia="Arial" w:hAnsi="Arial"/>
                <w:sz w:val="18"/>
                <w:szCs w:val="18"/>
                <w:b w:val="1"/>
                <w:bCs w:val="1"/>
                <w:color w:val="auto"/>
              </w:rPr>
              <w:t>AVAILABLE INFORMATION</w:t>
            </w:r>
          </w:p>
        </w:tc>
        <w:tc>
          <w:tcPr>
            <w:tcW w:w="3360" w:type="dxa"/>
            <w:vAlign w:val="bottom"/>
            <w:gridSpan w:val="5"/>
          </w:tcPr>
          <w:p>
            <w:pPr>
              <w:spacing w:after="0"/>
              <w:rPr>
                <w:sz w:val="20"/>
                <w:szCs w:val="20"/>
                <w:color w:val="auto"/>
              </w:rPr>
            </w:pPr>
            <w:r>
              <w:rPr>
                <w:rFonts w:ascii="Arial" w:cs="Arial" w:eastAsia="Arial" w:hAnsi="Arial"/>
                <w:sz w:val="18"/>
                <w:szCs w:val="18"/>
                <w:color w:val="auto"/>
              </w:rPr>
              <w:t>Face of Receipt - Paragraph (13).</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t>
      </w:r>
      <w:r>
        <w:rPr>
          <w:rFonts w:ascii="Arial" w:cs="Arial" w:eastAsia="Arial" w:hAnsi="Arial"/>
          <w:sz w:val="18"/>
          <w:szCs w:val="18"/>
          <w:u w:val="single" w:color="auto"/>
          <w:color w:val="auto"/>
        </w:rPr>
        <w:t>www.sec.gov</w:t>
      </w:r>
      <w:r>
        <w:rPr>
          <w:rFonts w:ascii="Arial" w:cs="Arial" w:eastAsia="Arial" w:hAnsi="Arial"/>
          <w:sz w:val="18"/>
          <w:szCs w:val="18"/>
          <w:color w:val="auto"/>
        </w:rPr>
        <w:t>), and can be inspected and copied at the public reference facilities maintained by the Commission at 100 F Street, N.E., Washington D.C. 20549.</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jc w:val="both"/>
        <w:ind w:left="100" w:right="99"/>
        <w:spacing w:after="0" w:line="264"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hanging="644"/>
        <w:spacing w:after="0" w:line="30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Form of Deposit Agreement, by and among I-Mab (the “</w:t>
      </w:r>
      <w:r>
        <w:rPr>
          <w:rFonts w:ascii="Arial" w:cs="Arial" w:eastAsia="Arial" w:hAnsi="Arial"/>
          <w:sz w:val="17"/>
          <w:szCs w:val="17"/>
          <w:u w:val="single" w:color="auto"/>
          <w:color w:val="auto"/>
        </w:rPr>
        <w:t>Company</w:t>
      </w:r>
      <w:r>
        <w:rPr>
          <w:rFonts w:ascii="Arial" w:cs="Arial" w:eastAsia="Arial" w:hAnsi="Arial"/>
          <w:sz w:val="17"/>
          <w:szCs w:val="17"/>
          <w:color w:val="auto"/>
        </w:rPr>
        <w:t>”), Citibank, N.A., as depositary (the “</w:t>
      </w:r>
      <w:r>
        <w:rPr>
          <w:rFonts w:ascii="Arial" w:cs="Arial" w:eastAsia="Arial" w:hAnsi="Arial"/>
          <w:sz w:val="17"/>
          <w:szCs w:val="17"/>
          <w:u w:val="single" w:color="auto"/>
          <w:color w:val="auto"/>
        </w:rPr>
        <w:t>Depositary</w:t>
      </w:r>
      <w:r>
        <w:rPr>
          <w:rFonts w:ascii="Arial" w:cs="Arial" w:eastAsia="Arial" w:hAnsi="Arial"/>
          <w:sz w:val="17"/>
          <w:szCs w:val="17"/>
          <w:color w:val="auto"/>
        </w:rPr>
        <w:t>”), and all Holders and Beneficial Owners of American Depositary Shares issued thereunder (“</w:t>
      </w:r>
      <w:r>
        <w:rPr>
          <w:rFonts w:ascii="Arial" w:cs="Arial" w:eastAsia="Arial" w:hAnsi="Arial"/>
          <w:sz w:val="17"/>
          <w:szCs w:val="17"/>
          <w:u w:val="single" w:color="auto"/>
          <w:color w:val="auto"/>
        </w:rPr>
        <w:t>Deposit Agreement</w:t>
      </w:r>
      <w:r>
        <w:rPr>
          <w:rFonts w:ascii="Arial" w:cs="Arial" w:eastAsia="Arial" w:hAnsi="Arial"/>
          <w:sz w:val="17"/>
          <w:szCs w:val="17"/>
          <w:color w:val="auto"/>
        </w:rPr>
        <w:t>”). — Filed herewith as Exhibit (a).</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agreement to which the Depositary is a party relating to the issuance of the American Depositary Shares registered hereunder or the custody of the deposited securities represented thereby. — None.</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Filed herewith as Exhibit (d).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under Rule 466. — None.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jc w:val="both"/>
        <w:ind w:left="1300" w:hanging="644"/>
        <w:spacing w:after="0" w:line="31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6"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Pursuant to the requirements of the Securities Act of 1933, as amended, Citibank, N.A., acting solely on behalf of the legal entity to be created by the Deposit Agreement, by and among I-Mab,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2019.</w:t>
      </w:r>
    </w:p>
    <w:p>
      <w:pPr>
        <w:spacing w:after="0" w:line="6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Legal entity created by the Deposit Agreement under which the American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Depositary Shares registered hereunder are to be issued, each American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Depositary Share representing the right to receive the specified number of</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ordinary shares of I-Mab</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Deluca</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Leslie Deluca</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Attorney-in-Fact</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firstLine="648"/>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F-6 and has duly caused this registration statement to be signed on its behalf by the undersigned, thereunto duly</w:t>
      </w: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authorized, in Shanghai, China, on December 17, 2019.</w:t>
            </w:r>
          </w:p>
        </w:tc>
        <w:tc>
          <w:tcPr>
            <w:tcW w:w="5140" w:type="dxa"/>
            <w:vAlign w:val="bottom"/>
          </w:tcPr>
          <w:p>
            <w:pPr>
              <w:spacing w:after="0"/>
              <w:rPr>
                <w:sz w:val="20"/>
                <w:szCs w:val="20"/>
                <w:color w:val="auto"/>
              </w:rPr>
            </w:pPr>
          </w:p>
        </w:tc>
      </w:tr>
      <w:tr>
        <w:trPr>
          <w:trHeight w:val="418"/>
        </w:trPr>
        <w:tc>
          <w:tcPr>
            <w:tcW w:w="6280" w:type="dxa"/>
            <w:vAlign w:val="bottom"/>
          </w:tcPr>
          <w:p>
            <w:pPr>
              <w:ind w:left="5720"/>
              <w:spacing w:after="0"/>
              <w:rPr>
                <w:sz w:val="20"/>
                <w:szCs w:val="20"/>
                <w:color w:val="auto"/>
              </w:rPr>
            </w:pPr>
            <w:r>
              <w:rPr>
                <w:rFonts w:ascii="Arial" w:cs="Arial" w:eastAsia="Arial" w:hAnsi="Arial"/>
                <w:sz w:val="18"/>
                <w:szCs w:val="18"/>
                <w:b w:val="1"/>
                <w:bCs w:val="1"/>
                <w:color w:val="auto"/>
              </w:rPr>
              <w:t>I-MAB</w:t>
            </w:r>
          </w:p>
        </w:tc>
        <w:tc>
          <w:tcPr>
            <w:tcW w:w="5140" w:type="dxa"/>
            <w:vAlign w:val="bottom"/>
          </w:tcPr>
          <w:p>
            <w:pPr>
              <w:spacing w:after="0"/>
              <w:rPr>
                <w:sz w:val="24"/>
                <w:szCs w:val="24"/>
                <w:color w:val="auto"/>
              </w:rPr>
            </w:pP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Jielun Zhu</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Jielun Zhu</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Director and Chief Financial Officer</w:t>
            </w:r>
          </w:p>
        </w:tc>
      </w:tr>
      <w:tr>
        <w:trPr>
          <w:trHeight w:val="574"/>
        </w:trPr>
        <w:tc>
          <w:tcPr>
            <w:tcW w:w="6280" w:type="dxa"/>
            <w:vAlign w:val="bottom"/>
            <w:tcBorders>
              <w:bottom w:val="single" w:sz="8" w:color="auto"/>
            </w:tcBorders>
          </w:tcPr>
          <w:p>
            <w:pPr>
              <w:ind w:left="5560"/>
              <w:spacing w:after="0"/>
              <w:rPr>
                <w:sz w:val="20"/>
                <w:szCs w:val="20"/>
                <w:color w:val="auto"/>
              </w:rPr>
            </w:pPr>
            <w:r>
              <w:rPr>
                <w:rFonts w:ascii="Arial" w:cs="Arial" w:eastAsia="Arial" w:hAnsi="Arial"/>
                <w:sz w:val="22"/>
                <w:szCs w:val="22"/>
                <w:color w:val="auto"/>
              </w:rPr>
              <w:t>II-4</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jc w:val="both"/>
        <w:ind w:firstLine="726"/>
        <w:spacing w:after="0" w:line="295" w:lineRule="auto"/>
        <w:rPr>
          <w:sz w:val="20"/>
          <w:szCs w:val="20"/>
          <w:color w:val="auto"/>
        </w:rPr>
      </w:pPr>
      <w:r>
        <w:rPr>
          <w:rFonts w:ascii="Arial" w:cs="Arial" w:eastAsia="Arial" w:hAnsi="Arial"/>
          <w:sz w:val="16"/>
          <w:szCs w:val="16"/>
          <w:b w:val="1"/>
          <w:bCs w:val="1"/>
          <w:color w:val="auto"/>
        </w:rPr>
        <w:t xml:space="preserve">KNOW ALL PERSONS BY THESE PRESENTS, </w:t>
      </w:r>
      <w:r>
        <w:rPr>
          <w:rFonts w:ascii="Arial" w:cs="Arial" w:eastAsia="Arial" w:hAnsi="Arial"/>
          <w:sz w:val="16"/>
          <w:szCs w:val="16"/>
          <w:color w:val="auto"/>
        </w:rPr>
        <w:t>that each person whose signature appears below constitutes and appoints each of Joan</w:t>
      </w:r>
      <w:r>
        <w:rPr>
          <w:rFonts w:ascii="Arial" w:cs="Arial" w:eastAsia="Arial" w:hAnsi="Arial"/>
          <w:sz w:val="16"/>
          <w:szCs w:val="16"/>
          <w:b w:val="1"/>
          <w:bCs w:val="1"/>
          <w:color w:val="auto"/>
        </w:rPr>
        <w:t xml:space="preserve"> </w:t>
      </w:r>
      <w:r>
        <w:rPr>
          <w:rFonts w:ascii="Arial" w:cs="Arial" w:eastAsia="Arial" w:hAnsi="Arial"/>
          <w:sz w:val="16"/>
          <w:szCs w:val="16"/>
          <w:color w:val="auto"/>
        </w:rPr>
        <w:t>Huaqiong Shen and Jielun Zhu, his or her true and lawful attorney-in-fact and agent,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as amended,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6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Under the requirements of the Securities Act of 1933, as amended, this registration statement has been signed by the following persons in the capacities and on December 17,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900" w:type="dxa"/>
            <w:vAlign w:val="bottom"/>
          </w:tcPr>
          <w:p>
            <w:pPr>
              <w:spacing w:after="0"/>
              <w:rPr>
                <w:sz w:val="17"/>
                <w:szCs w:val="17"/>
                <w:color w:val="auto"/>
              </w:rPr>
            </w:pPr>
          </w:p>
        </w:tc>
        <w:tc>
          <w:tcPr>
            <w:tcW w:w="5600" w:type="dxa"/>
            <w:vAlign w:val="bottom"/>
            <w:gridSpan w:val="3"/>
          </w:tcPr>
          <w:p>
            <w:pPr>
              <w:jc w:val="center"/>
              <w:ind w:left="2290"/>
              <w:spacing w:after="0"/>
              <w:rPr>
                <w:sz w:val="20"/>
                <w:szCs w:val="20"/>
                <w:color w:val="auto"/>
              </w:rPr>
            </w:pPr>
            <w:r>
              <w:rPr>
                <w:rFonts w:ascii="Arial" w:cs="Arial" w:eastAsia="Arial" w:hAnsi="Arial"/>
                <w:sz w:val="18"/>
                <w:szCs w:val="18"/>
                <w:b w:val="1"/>
                <w:bCs w:val="1"/>
                <w:color w:val="auto"/>
                <w:w w:val="91"/>
              </w:rPr>
              <w:t>Title</w:t>
            </w:r>
          </w:p>
        </w:tc>
      </w:tr>
      <w:tr>
        <w:trPr>
          <w:trHeight w:val="20"/>
        </w:trPr>
        <w:tc>
          <w:tcPr>
            <w:tcW w:w="1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69"/>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Jingwu Zhang Zang</w:t>
            </w:r>
          </w:p>
        </w:tc>
        <w:tc>
          <w:tcPr>
            <w:tcW w:w="5600" w:type="dxa"/>
            <w:vAlign w:val="bottom"/>
            <w:gridSpan w:val="3"/>
          </w:tcPr>
          <w:p>
            <w:pPr>
              <w:ind w:left="3640"/>
              <w:spacing w:after="0"/>
              <w:rPr>
                <w:sz w:val="20"/>
                <w:szCs w:val="20"/>
                <w:color w:val="auto"/>
              </w:rPr>
            </w:pPr>
            <w:r>
              <w:rPr>
                <w:rFonts w:ascii="Arial" w:cs="Arial" w:eastAsia="Arial" w:hAnsi="Arial"/>
                <w:sz w:val="18"/>
                <w:szCs w:val="18"/>
                <w:color w:val="auto"/>
              </w:rPr>
              <w:t>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Jingwu Zhang Zang</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Zheru Zhang</w:t>
            </w:r>
          </w:p>
        </w:tc>
        <w:tc>
          <w:tcPr>
            <w:tcW w:w="5600" w:type="dxa"/>
            <w:vAlign w:val="bottom"/>
            <w:gridSpan w:val="3"/>
          </w:tcPr>
          <w:p>
            <w:pPr>
              <w:jc w:val="center"/>
              <w:ind w:left="2310"/>
              <w:spacing w:after="0"/>
              <w:rPr>
                <w:sz w:val="20"/>
                <w:szCs w:val="20"/>
                <w:color w:val="auto"/>
              </w:rPr>
            </w:pPr>
            <w:r>
              <w:rPr>
                <w:rFonts w:ascii="Arial" w:cs="Arial" w:eastAsia="Arial" w:hAnsi="Arial"/>
                <w:sz w:val="18"/>
                <w:szCs w:val="18"/>
                <w:color w:val="auto"/>
                <w:w w:val="95"/>
              </w:rPr>
              <w:t>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Zheru Zhang</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Joan Huaqiong Shen</w:t>
            </w:r>
          </w:p>
        </w:tc>
        <w:tc>
          <w:tcPr>
            <w:tcW w:w="5600" w:type="dxa"/>
            <w:vAlign w:val="bottom"/>
            <w:gridSpan w:val="3"/>
          </w:tcPr>
          <w:p>
            <w:pPr>
              <w:jc w:val="center"/>
              <w:ind w:left="2290"/>
              <w:spacing w:after="0"/>
              <w:rPr>
                <w:sz w:val="20"/>
                <w:szCs w:val="20"/>
                <w:color w:val="auto"/>
              </w:rPr>
            </w:pPr>
            <w:r>
              <w:rPr>
                <w:rFonts w:ascii="Arial" w:cs="Arial" w:eastAsia="Arial" w:hAnsi="Arial"/>
                <w:sz w:val="18"/>
                <w:szCs w:val="18"/>
                <w:color w:val="auto"/>
                <w:w w:val="92"/>
              </w:rPr>
              <w:t>Director and Chief Executive Officer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Joan Huaqiong Shen</w:t>
            </w:r>
          </w:p>
        </w:tc>
        <w:tc>
          <w:tcPr>
            <w:tcW w:w="5600" w:type="dxa"/>
            <w:vAlign w:val="bottom"/>
            <w:gridSpan w:val="3"/>
          </w:tcPr>
          <w:p>
            <w:pPr>
              <w:jc w:val="center"/>
              <w:ind w:left="2290"/>
              <w:spacing w:after="0"/>
              <w:rPr>
                <w:sz w:val="20"/>
                <w:szCs w:val="20"/>
                <w:color w:val="auto"/>
              </w:rPr>
            </w:pPr>
            <w:r>
              <w:rPr>
                <w:rFonts w:ascii="Arial" w:cs="Arial" w:eastAsia="Arial" w:hAnsi="Arial"/>
                <w:sz w:val="18"/>
                <w:szCs w:val="18"/>
                <w:color w:val="auto"/>
                <w:w w:val="94"/>
              </w:rPr>
              <w:t>(Principal Executive Officer)</w:t>
            </w:r>
          </w:p>
        </w:tc>
      </w:tr>
      <w:tr>
        <w:trPr>
          <w:trHeight w:val="41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Jielun Zhu</w:t>
            </w:r>
          </w:p>
        </w:tc>
        <w:tc>
          <w:tcPr>
            <w:tcW w:w="5600" w:type="dxa"/>
            <w:vAlign w:val="bottom"/>
            <w:gridSpan w:val="3"/>
          </w:tcPr>
          <w:p>
            <w:pPr>
              <w:jc w:val="center"/>
              <w:ind w:left="2290"/>
              <w:spacing w:after="0"/>
              <w:rPr>
                <w:sz w:val="20"/>
                <w:szCs w:val="20"/>
                <w:color w:val="auto"/>
              </w:rPr>
            </w:pPr>
            <w:r>
              <w:rPr>
                <w:rFonts w:ascii="Arial" w:cs="Arial" w:eastAsia="Arial" w:hAnsi="Arial"/>
                <w:sz w:val="18"/>
                <w:szCs w:val="18"/>
                <w:color w:val="auto"/>
                <w:w w:val="93"/>
              </w:rPr>
              <w:t>Director and Chief Financial Officer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Jielun Zhu</w:t>
            </w:r>
          </w:p>
        </w:tc>
        <w:tc>
          <w:tcPr>
            <w:tcW w:w="5600" w:type="dxa"/>
            <w:vAlign w:val="bottom"/>
            <w:gridSpan w:val="3"/>
          </w:tcPr>
          <w:p>
            <w:pPr>
              <w:jc w:val="center"/>
              <w:ind w:left="2290"/>
              <w:spacing w:after="0"/>
              <w:rPr>
                <w:sz w:val="20"/>
                <w:szCs w:val="20"/>
                <w:color w:val="auto"/>
              </w:rPr>
            </w:pPr>
            <w:r>
              <w:rPr>
                <w:rFonts w:ascii="Arial" w:cs="Arial" w:eastAsia="Arial" w:hAnsi="Arial"/>
                <w:sz w:val="18"/>
                <w:szCs w:val="18"/>
                <w:color w:val="auto"/>
                <w:w w:val="93"/>
              </w:rPr>
              <w:t>(Principal Financial and Accounting Officer)</w:t>
            </w:r>
          </w:p>
        </w:tc>
      </w:tr>
      <w:tr>
        <w:trPr>
          <w:trHeight w:val="418"/>
        </w:trPr>
        <w:tc>
          <w:tcPr>
            <w:tcW w:w="1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w w:val="88"/>
              </w:rPr>
              <w:t>/s/ Wei Fu</w:t>
            </w:r>
          </w:p>
        </w:tc>
        <w:tc>
          <w:tcPr>
            <w:tcW w:w="5600" w:type="dxa"/>
            <w:vAlign w:val="bottom"/>
            <w:gridSpan w:val="3"/>
          </w:tcPr>
          <w:p>
            <w:pPr>
              <w:jc w:val="center"/>
              <w:ind w:left="2290"/>
              <w:spacing w:after="0"/>
              <w:rPr>
                <w:sz w:val="20"/>
                <w:szCs w:val="20"/>
                <w:color w:val="auto"/>
              </w:rPr>
            </w:pPr>
            <w:r>
              <w:rPr>
                <w:rFonts w:ascii="Arial" w:cs="Arial" w:eastAsia="Arial" w:hAnsi="Arial"/>
                <w:sz w:val="18"/>
                <w:szCs w:val="18"/>
                <w:color w:val="auto"/>
                <w:w w:val="92"/>
              </w:rPr>
              <w:t>Chairman of Board of Directors</w:t>
            </w:r>
          </w:p>
        </w:tc>
      </w:tr>
      <w:tr>
        <w:trPr>
          <w:trHeight w:val="224"/>
        </w:trPr>
        <w:tc>
          <w:tcPr>
            <w:tcW w:w="1920" w:type="dxa"/>
            <w:vAlign w:val="bottom"/>
          </w:tcPr>
          <w:p>
            <w:pPr>
              <w:spacing w:after="0"/>
              <w:rPr>
                <w:sz w:val="19"/>
                <w:szCs w:val="19"/>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8"/>
                <w:szCs w:val="18"/>
                <w:color w:val="auto"/>
                <w:w w:val="91"/>
              </w:rPr>
              <w:t>Wei Fu</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Mengjiao Jiang</w:t>
            </w:r>
          </w:p>
        </w:tc>
        <w:tc>
          <w:tcPr>
            <w:tcW w:w="5600" w:type="dxa"/>
            <w:vAlign w:val="bottom"/>
            <w:gridSpan w:val="3"/>
          </w:tcPr>
          <w:p>
            <w:pPr>
              <w:jc w:val="center"/>
              <w:ind w:left="2310"/>
              <w:spacing w:after="0"/>
              <w:rPr>
                <w:sz w:val="20"/>
                <w:szCs w:val="20"/>
                <w:color w:val="auto"/>
              </w:rPr>
            </w:pPr>
            <w:r>
              <w:rPr>
                <w:rFonts w:ascii="Arial" w:cs="Arial" w:eastAsia="Arial" w:hAnsi="Arial"/>
                <w:sz w:val="18"/>
                <w:szCs w:val="18"/>
                <w:color w:val="auto"/>
                <w:w w:val="95"/>
              </w:rPr>
              <w:t>Director</w:t>
            </w:r>
          </w:p>
        </w:tc>
      </w:tr>
      <w:tr>
        <w:trPr>
          <w:trHeight w:val="224"/>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Mengjiao Jiang</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1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center"/>
              <w:ind w:right="1920"/>
              <w:spacing w:after="0"/>
              <w:rPr>
                <w:sz w:val="20"/>
                <w:szCs w:val="20"/>
                <w:color w:val="auto"/>
              </w:rPr>
            </w:pPr>
            <w:r>
              <w:rPr>
                <w:rFonts w:ascii="Arial" w:cs="Arial" w:eastAsia="Arial" w:hAnsi="Arial"/>
                <w:sz w:val="18"/>
                <w:szCs w:val="18"/>
                <w:color w:val="auto"/>
                <w:w w:val="89"/>
              </w:rPr>
              <w:t>/s/ Jie Yu</w:t>
            </w:r>
          </w:p>
        </w:tc>
        <w:tc>
          <w:tcPr>
            <w:tcW w:w="5600" w:type="dxa"/>
            <w:vAlign w:val="bottom"/>
            <w:gridSpan w:val="3"/>
          </w:tcPr>
          <w:p>
            <w:pPr>
              <w:jc w:val="center"/>
              <w:ind w:left="2310"/>
              <w:spacing w:after="0"/>
              <w:rPr>
                <w:sz w:val="20"/>
                <w:szCs w:val="20"/>
                <w:color w:val="auto"/>
              </w:rPr>
            </w:pPr>
            <w:r>
              <w:rPr>
                <w:rFonts w:ascii="Arial" w:cs="Arial" w:eastAsia="Arial" w:hAnsi="Arial"/>
                <w:sz w:val="18"/>
                <w:szCs w:val="18"/>
                <w:color w:val="auto"/>
                <w:w w:val="95"/>
              </w:rPr>
              <w:t>Director</w:t>
            </w:r>
          </w:p>
        </w:tc>
      </w:tr>
      <w:tr>
        <w:trPr>
          <w:trHeight w:val="224"/>
        </w:trPr>
        <w:tc>
          <w:tcPr>
            <w:tcW w:w="1920" w:type="dxa"/>
            <w:vAlign w:val="bottom"/>
          </w:tcPr>
          <w:p>
            <w:pPr>
              <w:spacing w:after="0"/>
              <w:rPr>
                <w:sz w:val="19"/>
                <w:szCs w:val="19"/>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8"/>
                <w:szCs w:val="18"/>
                <w:color w:val="auto"/>
                <w:w w:val="87"/>
              </w:rPr>
              <w:t>Jie Yu</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1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rPr>
              <w:t>/s/ Lin Li</w:t>
            </w:r>
          </w:p>
        </w:tc>
        <w:tc>
          <w:tcPr>
            <w:tcW w:w="5600" w:type="dxa"/>
            <w:vAlign w:val="bottom"/>
            <w:gridSpan w:val="3"/>
          </w:tcPr>
          <w:p>
            <w:pPr>
              <w:jc w:val="center"/>
              <w:ind w:left="2310"/>
              <w:spacing w:after="0"/>
              <w:rPr>
                <w:sz w:val="20"/>
                <w:szCs w:val="20"/>
                <w:color w:val="auto"/>
              </w:rPr>
            </w:pPr>
            <w:r>
              <w:rPr>
                <w:rFonts w:ascii="Arial" w:cs="Arial" w:eastAsia="Arial" w:hAnsi="Arial"/>
                <w:sz w:val="18"/>
                <w:szCs w:val="18"/>
                <w:color w:val="auto"/>
                <w:w w:val="95"/>
              </w:rPr>
              <w:t>Director</w:t>
            </w:r>
          </w:p>
        </w:tc>
      </w:tr>
      <w:tr>
        <w:trPr>
          <w:trHeight w:val="224"/>
        </w:trPr>
        <w:tc>
          <w:tcPr>
            <w:tcW w:w="1920" w:type="dxa"/>
            <w:vAlign w:val="bottom"/>
          </w:tcPr>
          <w:p>
            <w:pPr>
              <w:spacing w:after="0"/>
              <w:rPr>
                <w:sz w:val="19"/>
                <w:szCs w:val="19"/>
                <w:color w:val="auto"/>
              </w:rPr>
            </w:pPr>
          </w:p>
        </w:tc>
        <w:tc>
          <w:tcPr>
            <w:tcW w:w="2660" w:type="dxa"/>
            <w:vAlign w:val="bottom"/>
            <w:gridSpan w:val="2"/>
          </w:tcPr>
          <w:p>
            <w:pPr>
              <w:jc w:val="center"/>
              <w:ind w:right="1920"/>
              <w:spacing w:after="0"/>
              <w:rPr>
                <w:sz w:val="20"/>
                <w:szCs w:val="20"/>
                <w:color w:val="auto"/>
              </w:rPr>
            </w:pPr>
            <w:r>
              <w:rPr>
                <w:rFonts w:ascii="Arial" w:cs="Arial" w:eastAsia="Arial" w:hAnsi="Arial"/>
                <w:sz w:val="18"/>
                <w:szCs w:val="18"/>
                <w:color w:val="auto"/>
              </w:rPr>
              <w:t>Lin Li</w:t>
            </w:r>
          </w:p>
        </w:tc>
        <w:tc>
          <w:tcPr>
            <w:tcW w:w="3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I-MAB, has signed this registration statement or amendment thereto in New York on December 17, 2019.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Authorized U.S. Representative</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Arthur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Richard Arthur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Assistant Secretary</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6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Document</w:t>
            </w:r>
          </w:p>
        </w:tc>
        <w:tc>
          <w:tcPr>
            <w:tcW w:w="204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12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7"/>
              </w:rPr>
              <w:t>Numbered Page</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5800" w:type="dxa"/>
            <w:vAlign w:val="bottom"/>
            <w:gridSpan w:val="4"/>
          </w:tcPr>
          <w:p>
            <w:pPr>
              <w:ind w:left="2960"/>
              <w:spacing w:after="0"/>
              <w:rPr>
                <w:sz w:val="20"/>
                <w:szCs w:val="20"/>
                <w:color w:val="auto"/>
              </w:rPr>
            </w:pPr>
            <w:r>
              <w:rPr>
                <w:rFonts w:ascii="Arial" w:cs="Arial" w:eastAsia="Arial" w:hAnsi="Arial"/>
                <w:sz w:val="18"/>
                <w:szCs w:val="18"/>
                <w:color w:val="auto"/>
              </w:rPr>
              <w:t>Form of Deposit Agreement</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5800" w:type="dxa"/>
            <w:vAlign w:val="bottom"/>
            <w:gridSpan w:val="4"/>
          </w:tcPr>
          <w:p>
            <w:pPr>
              <w:ind w:left="2960"/>
              <w:spacing w:after="0"/>
              <w:rPr>
                <w:sz w:val="20"/>
                <w:szCs w:val="20"/>
                <w:color w:val="auto"/>
              </w:rPr>
            </w:pPr>
            <w:r>
              <w:rPr>
                <w:rFonts w:ascii="Arial" w:cs="Arial" w:eastAsia="Arial" w:hAnsi="Arial"/>
                <w:sz w:val="18"/>
                <w:szCs w:val="18"/>
                <w:color w:val="auto"/>
                <w:w w:val="97"/>
              </w:rPr>
              <w:t>Opinion of counsel to the Depositary</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324" w:right="1440"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300355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I-MAB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HOLDERS AND BENEFICIAL OWNERS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05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58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1.1</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“ADS Record Date”</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1.2</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“Affiliate”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1.3</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“American Depositary Receipt(s)”, “ADR(s)” and “Receipt(s)”</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1.4</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“American Depositary Share(s)” and “ADS(s)”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1.5</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“Articles of Association”</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1.6</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“Beneficial Owner”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1.7</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“Certificated ADS(s)”</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1.8</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“Citibank”</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1.9</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“Commission”</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1.10</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“Company”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1.11</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“Custodian”</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1.12</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“Deliver” and “Delivery”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1.13</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“Deposit Agreement”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1.14</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“Depositary”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1.15</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“Deposited Property”</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1.16</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“Deposited Securities”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1.17</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“Dollars” and “$”</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1.18</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“DTC”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1.19</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“DTC Participant”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1.20</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“Exchange Act”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1.21</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“Foreign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1.22</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 Entitlement ADR(s)”, “Full Entitlement ADS(s)” and “Full Entitlement Share(s)”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1.23</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1.24</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“Partial Entitlement ADR(s)”, “Partial Entitlement ADS(s)” and “Partial Entitlement Share(s)”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1.25</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“Principal Office”</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1.26</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“Registrar”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1.27</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“Restricted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1.28</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“Restricted ADR(s)”, “Restricted ADS(s)” and “Restricted Shares”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1.29</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“Securities Act”</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1.30</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“Share Registrar”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1.31</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1.32</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“Uncertificated ADS(s)”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1.33</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“United States” and “U.S.”</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960" w:type="dxa"/>
            <w:vAlign w:val="bottom"/>
            <w:gridSpan w:val="2"/>
          </w:tcPr>
          <w:p>
            <w:pPr>
              <w:spacing w:after="0" w:line="201" w:lineRule="exact"/>
              <w:rPr>
                <w:sz w:val="20"/>
                <w:szCs w:val="20"/>
                <w:color w:val="auto"/>
              </w:rPr>
            </w:pPr>
            <w:r>
              <w:rPr>
                <w:rFonts w:ascii="Arial" w:cs="Arial" w:eastAsia="Arial" w:hAnsi="Arial"/>
                <w:sz w:val="18"/>
                <w:szCs w:val="18"/>
                <w:color w:val="auto"/>
                <w:w w:val="97"/>
              </w:rPr>
              <w:t>ARTICLE II APPOINTMENT OF DEPOSITARY; FORM OF RECEIPTS; DEPOSIT OF SHARES; EXECUTION AND DELIVERY, TRANSFER</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980" w:type="dxa"/>
            <w:vAlign w:val="bottom"/>
            <w:gridSpan w:val="3"/>
          </w:tcPr>
          <w:p>
            <w:pPr>
              <w:spacing w:after="0"/>
              <w:rPr>
                <w:sz w:val="20"/>
                <w:szCs w:val="20"/>
                <w:color w:val="auto"/>
              </w:rPr>
            </w:pPr>
            <w:r>
              <w:rPr>
                <w:rFonts w:ascii="Arial" w:cs="Arial" w:eastAsia="Arial" w:hAnsi="Arial"/>
                <w:sz w:val="18"/>
                <w:szCs w:val="18"/>
                <w:color w:val="auto"/>
              </w:rPr>
              <w:t>AND SURRENDER OF RECEIPTS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2.1</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Appointment of Depositary.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2.2</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Form and Transferability of ADSs.</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2.3</w:t>
            </w:r>
          </w:p>
        </w:tc>
        <w:tc>
          <w:tcPr>
            <w:tcW w:w="9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Deposit of Shares.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2.4</w:t>
            </w:r>
          </w:p>
        </w:tc>
        <w:tc>
          <w:tcPr>
            <w:tcW w:w="9580" w:type="dxa"/>
            <w:vAlign w:val="bottom"/>
          </w:tcPr>
          <w:p>
            <w:pPr>
              <w:ind w:left="320"/>
              <w:spacing w:after="0"/>
              <w:rPr>
                <w:sz w:val="20"/>
                <w:szCs w:val="20"/>
                <w:color w:val="auto"/>
              </w:rPr>
            </w:pPr>
            <w:r>
              <w:rPr>
                <w:rFonts w:ascii="Arial" w:cs="Arial" w:eastAsia="Arial" w:hAnsi="Arial"/>
                <w:sz w:val="18"/>
                <w:szCs w:val="18"/>
                <w:b w:val="1"/>
                <w:bCs w:val="1"/>
                <w:color w:val="auto"/>
              </w:rPr>
              <w:t>Registration and Safekeeping of Deposited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2.5</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Issuance of ADSs.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2.6</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Transfer, Combination and Split-up of ADRs.</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2.7</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Surrender of ADSs and Withdrawal of Deposited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2.8</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Limitations on Execution and Delivery, Transfer, etc. of ADSs; Suspension of Delivery, Transfer, etc.</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2.9</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Lost ADRs, etc.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2.10</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Cancellation and Destruction of Surrendered ADRs; Maintenance of Records.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2.11</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Escheatment.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2.12</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Partial Entitlement ADSs.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2.13</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Certificated/Uncertificated ADSs.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2.14</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Restricted ADSs.</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ARTICLE III CERTAIN OBLIGATIONS OF HOLDERS AND BENEFICIAL OWNERS OF ADSs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3.1</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Proofs, Certificates and Other Information.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3.2</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Liability for Taxes and Other Charges.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3.3</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Representations and Warranties on Deposit of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3.4</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Compliance with Information Requests.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3.5</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Ownership Restrictions.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3.6</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Reporting Obligations and Regulatory Approvals.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ARTICLE IV THE DEPOSITED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4.1</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Cash Distributions.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4.2</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Distribution in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4.3</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Elective Distributions in Cash or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4.4</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Distribution of Rights to Purchase Additional ADSs.</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4.5</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Distributions Other Than Cash, Shares or Rights to Purchase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4.6</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Distributions with Respect to Deposited Securities in Bearer Form.</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4.7</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Redemption.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4.8</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Conversion of Foreign Currency.</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4.9</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Fixing of ADS Record Date.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4.10</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Voting of Deposited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4.11</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Changes Affecting Deposited Securities.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4.12</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Available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4.13</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Reports.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4.14</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List of 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4.15</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Taxation.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5.1</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Maintenance of Office and Transfer Books by the Registrar.</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5.2</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Exoneration.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5.3</w:t>
            </w:r>
          </w:p>
        </w:tc>
        <w:tc>
          <w:tcPr>
            <w:tcW w:w="8920" w:type="dxa"/>
            <w:vAlign w:val="bottom"/>
          </w:tcPr>
          <w:p>
            <w:pPr>
              <w:ind w:left="320"/>
              <w:spacing w:after="0"/>
              <w:rPr>
                <w:sz w:val="20"/>
                <w:szCs w:val="20"/>
                <w:color w:val="auto"/>
              </w:rPr>
            </w:pPr>
            <w:r>
              <w:rPr>
                <w:rFonts w:ascii="Arial" w:cs="Arial" w:eastAsia="Arial" w:hAnsi="Arial"/>
                <w:sz w:val="18"/>
                <w:szCs w:val="18"/>
                <w:b w:val="1"/>
                <w:bCs w:val="1"/>
                <w:color w:val="auto"/>
              </w:rPr>
              <w:t>Standard of Care.</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5.4</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Resignation and Removal of the Depositary; Appointment of Successor Depositary.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5.5</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The Custodian.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5.6</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Notices and Reports.</w:t>
            </w:r>
          </w:p>
        </w:tc>
        <w:tc>
          <w:tcPr>
            <w:tcW w:w="24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5.7</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Issuance of Additional Shares, ADSs etc.</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5.8</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Indemnification.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5.9</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ADS Fees and Charges.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5.10</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Restricted Securities Owners.</w:t>
            </w:r>
          </w:p>
        </w:tc>
        <w:tc>
          <w:tcPr>
            <w:tcW w:w="24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ARTICLE VI AMENDMENT AND 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6.1</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Amendment/Supplement.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6.2</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7.1</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Counterparts.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7.2</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No Third Party Beneficiaries/Acknowledgments.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7.3</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Severability.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7.4</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Holders and Beneficial Owners as Parties; Binding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7.5</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Notices.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7.6</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Governing Law and Jurisdiction.</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7.7</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Assignment.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7.8</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Compliance with, and No Disclaimer under, U.S. Securities Laws.</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Section 7.9</w:t>
            </w: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The Cayman Islands Law References.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Section 7.10</w:t>
            </w:r>
          </w:p>
        </w:tc>
        <w:tc>
          <w:tcPr>
            <w:tcW w:w="7540" w:type="dxa"/>
            <w:vAlign w:val="bottom"/>
          </w:tcPr>
          <w:p>
            <w:pPr>
              <w:ind w:left="320"/>
              <w:spacing w:after="0"/>
              <w:rPr>
                <w:sz w:val="20"/>
                <w:szCs w:val="20"/>
                <w:color w:val="auto"/>
              </w:rPr>
            </w:pPr>
            <w:r>
              <w:rPr>
                <w:rFonts w:ascii="Arial" w:cs="Arial" w:eastAsia="Arial" w:hAnsi="Arial"/>
                <w:sz w:val="18"/>
                <w:szCs w:val="18"/>
                <w:b w:val="1"/>
                <w:bCs w:val="1"/>
                <w:color w:val="auto"/>
              </w:rPr>
              <w:t>Titles and References.</w:t>
            </w:r>
          </w:p>
        </w:tc>
        <w:tc>
          <w:tcPr>
            <w:tcW w:w="24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EXHIBITS</w:t>
            </w:r>
          </w:p>
        </w:tc>
        <w:tc>
          <w:tcPr>
            <w:tcW w:w="7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ADR.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Fee Schedule.</w:t>
            </w:r>
          </w:p>
        </w:tc>
        <w:tc>
          <w:tcPr>
            <w:tcW w:w="2480" w:type="dxa"/>
            <w:vAlign w:val="bottom"/>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by and among (i) I-MAB, an exempted company incorporated in the Cayman Islands, and its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establish with the Depositary an ADR facility to provide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deposit of the Shares (as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6"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any American Depositary Receipts issued pursuant to the terms of the Deposit Agreement are to be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attached hereto, with appropriate insertions, modifications and omissions, as hereinafter provided in the Deposit Agreement; and</w:t>
      </w:r>
    </w:p>
    <w:p>
      <w:pPr>
        <w:spacing w:after="0" w:line="13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ADS Record Date</w:t>
      </w:r>
      <w:r>
        <w:rPr>
          <w:rFonts w:ascii="Arial" w:cs="Arial" w:eastAsia="Arial" w:hAnsi="Arial"/>
          <w:sz w:val="16"/>
          <w:szCs w:val="16"/>
          <w:color w:val="auto"/>
        </w:rPr>
        <w:t>” shall have the meaning given to such term in Section 4.9.</w:t>
      </w:r>
    </w:p>
    <w:p>
      <w:pPr>
        <w:spacing w:after="0" w:line="225"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right="280" w:firstLine="648"/>
        <w:spacing w:after="0" w:line="281"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Receipt(s)</w:t>
      </w:r>
      <w:r>
        <w:rPr>
          <w:rFonts w:ascii="Arial" w:cs="Arial" w:eastAsia="Arial" w:hAnsi="Arial"/>
          <w:sz w:val="17"/>
          <w:szCs w:val="17"/>
          <w:color w:val="auto"/>
        </w:rPr>
        <w:t>” shall mean the certificate(s) issued by the Depositary to</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right="220" w:firstLine="648"/>
        <w:spacing w:after="0" w:line="28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ADS(s)</w:t>
      </w:r>
      <w:r>
        <w:rPr>
          <w:rFonts w:ascii="Arial" w:cs="Arial" w:eastAsia="Arial" w:hAnsi="Arial"/>
          <w:sz w:val="16"/>
          <w:szCs w:val="16"/>
          <w:color w:val="auto"/>
        </w:rPr>
        <w:t>” 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right="20" w:firstLine="8"/>
        <w:spacing w:after="0" w:line="267"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1"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Articles of Association</w:t>
      </w:r>
      <w:r>
        <w:rPr>
          <w:rFonts w:ascii="Arial" w:cs="Arial" w:eastAsia="Arial" w:hAnsi="Arial"/>
          <w:sz w:val="18"/>
          <w:szCs w:val="18"/>
          <w:color w:val="auto"/>
        </w:rPr>
        <w:t>” shall mean the Amended and Restated Memorandum and Articles of Association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from time to time.</w:t>
      </w:r>
    </w:p>
    <w:p>
      <w:pPr>
        <w:spacing w:after="0" w:line="1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 Owner</w:t>
      </w:r>
      <w:r>
        <w:rPr>
          <w:rFonts w:ascii="Arial" w:cs="Arial" w:eastAsia="Arial" w:hAnsi="Arial"/>
          <w:sz w:val="16"/>
          <w:szCs w:val="16"/>
          <w:color w:val="auto"/>
        </w:rPr>
        <w:t>” shall mean, as to any ADS, any person or entity having a beneficial interest deriving from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Section 1.8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shall mean I-Mab, an exempted company incorporated in the Cayman Islands, and its successors.</w:t>
      </w:r>
    </w:p>
    <w:p>
      <w:pPr>
        <w:spacing w:after="0" w:line="225"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Custodian</w:t>
      </w:r>
      <w:r>
        <w:rPr>
          <w:rFonts w:ascii="Arial" w:cs="Arial" w:eastAsia="Arial" w:hAnsi="Arial"/>
          <w:sz w:val="18"/>
          <w:szCs w:val="18"/>
          <w:color w:val="auto"/>
        </w:rPr>
        <w:t>” shall mean (i) as of the date hereof, Citibank, N.A</w:t>
      </w:r>
      <w:r>
        <w:rPr>
          <w:rFonts w:ascii="Arial" w:cs="Arial" w:eastAsia="Arial" w:hAnsi="Arial"/>
          <w:sz w:val="18"/>
          <w:szCs w:val="18"/>
          <w:b w:val="1"/>
          <w:bCs w:val="1"/>
          <w:color w:val="auto"/>
        </w:rPr>
        <w:t xml:space="preserve">. - </w:t>
      </w:r>
      <w:r>
        <w:rPr>
          <w:rFonts w:ascii="Arial" w:cs="Arial" w:eastAsia="Arial" w:hAnsi="Arial"/>
          <w:sz w:val="18"/>
          <w:szCs w:val="18"/>
          <w:color w:val="auto"/>
        </w:rPr>
        <w:t>Hong Kong, having its principal office at 9/F, Citi Tower, One</w:t>
      </w:r>
      <w:r>
        <w:rPr>
          <w:rFonts w:ascii="Arial" w:cs="Arial" w:eastAsia="Arial" w:hAnsi="Arial"/>
          <w:sz w:val="18"/>
          <w:szCs w:val="18"/>
          <w:b w:val="1"/>
          <w:bCs w:val="1"/>
          <w:color w:val="auto"/>
        </w:rPr>
        <w:t xml:space="preserve"> </w:t>
      </w:r>
      <w:r>
        <w:rPr>
          <w:rFonts w:ascii="Arial" w:cs="Arial" w:eastAsia="Arial" w:hAnsi="Arial"/>
          <w:sz w:val="18"/>
          <w:szCs w:val="18"/>
          <w:color w:val="auto"/>
        </w:rPr>
        <w:t>Bay 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4"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Deliver</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Delivery</w:t>
      </w:r>
      <w:r>
        <w:rPr>
          <w:rFonts w:ascii="Arial" w:cs="Arial" w:eastAsia="Arial" w:hAnsi="Arial"/>
          <w:sz w:val="18"/>
          <w:szCs w:val="18"/>
          <w:color w:val="auto"/>
        </w:rPr>
        <w:t>” 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0" w:name="page21"/>
    <w:bookmarkEnd w:id="20"/>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 Agreement</w:t>
      </w:r>
      <w:r>
        <w:rPr>
          <w:rFonts w:ascii="Arial" w:cs="Arial" w:eastAsia="Arial" w:hAnsi="Arial"/>
          <w:sz w:val="18"/>
          <w:szCs w:val="18"/>
          <w:color w:val="auto"/>
        </w:rPr>
        <w:t>” 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162"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Section 1.15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74"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shall refer to the lawful currency of the United States.</w:t>
      </w:r>
    </w:p>
    <w:p>
      <w:pPr>
        <w:spacing w:after="0" w:line="22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1.19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DTC Participant</w:t>
      </w:r>
      <w:r>
        <w:rPr>
          <w:rFonts w:ascii="Arial" w:cs="Arial" w:eastAsia="Arial" w:hAnsi="Arial"/>
          <w:sz w:val="16"/>
          <w:szCs w:val="16"/>
          <w:color w:val="auto"/>
        </w:rPr>
        <w:t>” shall mean any financial institution (or any nominee of such institution) having one or more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1" w:name="page22"/>
    <w:bookmarkEnd w:id="21"/>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Foreign Currency</w:t>
      </w:r>
      <w:r>
        <w:rPr>
          <w:rFonts w:ascii="Arial" w:cs="Arial" w:eastAsia="Arial" w:hAnsi="Arial"/>
          <w:sz w:val="16"/>
          <w:szCs w:val="16"/>
          <w:color w:val="auto"/>
        </w:rPr>
        <w:t>” shall mean any currency other than Dollars.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1.23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Holder(s)</w:t>
      </w:r>
      <w:r>
        <w:rPr>
          <w:rFonts w:ascii="Arial" w:cs="Arial" w:eastAsia="Arial" w:hAnsi="Arial"/>
          <w:sz w:val="17"/>
          <w:szCs w:val="17"/>
          <w:color w:val="auto"/>
        </w:rPr>
        <w:t>” shall mean the person(s) in whose name the ADSs are registered on the books of the Depositary (or the Registrar, if</w:t>
      </w:r>
      <w:r>
        <w:rPr>
          <w:rFonts w:ascii="Arial" w:cs="Arial" w:eastAsia="Arial" w:hAnsi="Arial"/>
          <w:sz w:val="17"/>
          <w:szCs w:val="17"/>
          <w:b w:val="1"/>
          <w:bCs w:val="1"/>
          <w:color w:val="auto"/>
        </w:rPr>
        <w:t xml:space="preserve"> </w:t>
      </w:r>
      <w:r>
        <w:rPr>
          <w:rFonts w:ascii="Arial" w:cs="Arial" w:eastAsia="Arial" w:hAnsi="Arial"/>
          <w:sz w:val="17"/>
          <w:szCs w:val="17"/>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6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1.26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Registrar</w:t>
      </w:r>
      <w:r>
        <w:rPr>
          <w:rFonts w:ascii="Arial" w:cs="Arial" w:eastAsia="Arial" w:hAnsi="Arial"/>
          <w:sz w:val="17"/>
          <w:szCs w:val="17"/>
          <w:color w:val="auto"/>
        </w:rPr>
        <w:t>” 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color w:val="auto"/>
        </w:rPr>
        <w:t xml:space="preserve">Section 1.27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shall mean Shares, Deposited Securities or ADSs which (i) have been acquired directly or indirectly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and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 2.14.</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shall mean the United States Securities Act of 1933, as amended from time to time.</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1.30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 Registrar</w:t>
      </w:r>
      <w:r>
        <w:rPr>
          <w:rFonts w:ascii="Arial" w:cs="Arial" w:eastAsia="Arial" w:hAnsi="Arial"/>
          <w:sz w:val="18"/>
          <w:szCs w:val="18"/>
          <w:color w:val="auto"/>
        </w:rPr>
        <w:t>” shall mean Vistra (Cayman) Limited or any other institution organized under the laws of the Cayman Islands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by the Company from time to time to carry out the duties of registrar for the Shares, and any successor thereto.</w:t>
      </w:r>
    </w:p>
    <w:p>
      <w:pPr>
        <w:spacing w:after="0" w:line="162"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Section 1.31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shall mean the Company’s ordinary shares, par value US$0.0001 per share, validly issued and outstanding and fully paid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may, if the Depositary so agrees after consultation with the Company, include evidence of the right to receive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7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United States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Appointment of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Depositary as depositary for the Deposited Property and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7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b w:val="1"/>
          <w:bCs w:val="1"/>
          <w:color w:val="auto"/>
        </w:rPr>
        <w:t>.</w:t>
      </w:r>
    </w:p>
    <w:p>
      <w:pPr>
        <w:spacing w:after="0" w:line="225" w:lineRule="exact"/>
        <w:rPr>
          <w:sz w:val="20"/>
          <w:szCs w:val="20"/>
          <w:color w:val="auto"/>
        </w:rPr>
      </w:pPr>
    </w:p>
    <w:p>
      <w:pPr>
        <w:ind w:right="20" w:firstLine="656"/>
        <w:spacing w:after="0" w:line="269" w:lineRule="auto"/>
        <w:tabs>
          <w:tab w:leader="none" w:pos="1533"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ADSs shall be evidenced by definitive ADRs which shall be engraved, printed, lithographed or produced in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both"/>
        <w:ind w:right="300" w:firstLine="656"/>
        <w:spacing w:after="0" w:line="293" w:lineRule="auto"/>
        <w:tabs>
          <w:tab w:leader="none" w:pos="1498"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right="40" w:firstLine="8"/>
        <w:spacing w:after="0" w:line="270"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ind w:firstLine="656"/>
        <w:spacing w:after="0" w:line="255" w:lineRule="auto"/>
        <w:tabs>
          <w:tab w:leader="none" w:pos="1523"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5" w:lineRule="exact"/>
        <w:rPr>
          <w:rFonts w:ascii="Arial" w:cs="Arial" w:eastAsia="Arial" w:hAnsi="Arial"/>
          <w:sz w:val="18"/>
          <w:szCs w:val="18"/>
          <w:b w:val="1"/>
          <w:bCs w:val="1"/>
          <w:color w:val="auto"/>
        </w:rPr>
      </w:pPr>
    </w:p>
    <w:p>
      <w:pPr>
        <w:ind w:firstLine="656"/>
        <w:spacing w:after="0" w:line="286" w:lineRule="auto"/>
        <w:tabs>
          <w:tab w:leader="none" w:pos="1498"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registered in the name of the nominee for DTC (“Cede &amp; Co.” or a successor nominee).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right="60" w:firstLine="648"/>
        <w:spacing w:after="0" w:line="284"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represented by certificates issued in registered form</w:t>
      </w:r>
      <w:r>
        <w:rPr>
          <w:rFonts w:ascii="Arial" w:cs="Arial" w:eastAsia="Arial" w:hAnsi="Arial"/>
          <w:sz w:val="16"/>
          <w:szCs w:val="16"/>
          <w:color w:val="auto"/>
        </w:rPr>
        <w:t>, appropriate instruments of transfer or endorsement, in a form satisfactory to the Custodian, (ii)</w:t>
      </w:r>
      <w:r>
        <w:rPr>
          <w:rFonts w:ascii="Arial" w:cs="Arial" w:eastAsia="Arial" w:hAnsi="Arial"/>
          <w:sz w:val="16"/>
          <w:szCs w:val="16"/>
          <w:i w:val="1"/>
          <w:iCs w:val="1"/>
          <w:color w:val="auto"/>
        </w:rPr>
        <w:t xml:space="preserve"> in the case of Shares represented by certificates in bearer form, </w:t>
      </w:r>
      <w:r>
        <w:rPr>
          <w:rFonts w:ascii="Arial" w:cs="Arial" w:eastAsia="Arial" w:hAnsi="Arial"/>
          <w:sz w:val="16"/>
          <w:szCs w:val="16"/>
          <w:color w:val="auto"/>
        </w:rPr>
        <w:t>the requisite coupons and talons pertaining thereto, and (iii)</w:t>
      </w:r>
      <w:r>
        <w:rPr>
          <w:rFonts w:ascii="Arial" w:cs="Arial" w:eastAsia="Arial" w:hAnsi="Arial"/>
          <w:sz w:val="16"/>
          <w:szCs w:val="16"/>
          <w:i w:val="1"/>
          <w:iCs w:val="1"/>
          <w:color w:val="auto"/>
        </w:rPr>
        <w:t xml:space="preserve"> in the case of Shares delivered by book-entry transfer and recordation</w:t>
      </w:r>
      <w:r>
        <w:rPr>
          <w:rFonts w:ascii="Arial" w:cs="Arial" w:eastAsia="Arial" w:hAnsi="Arial"/>
          <w:sz w:val="16"/>
          <w:szCs w:val="16"/>
          <w:color w:val="auto"/>
        </w:rPr>
        <w:t>, confirmation of such book-entry transfer and recordation in the books of the Share Registrar or of the applicable book-entry settlement entity, as applicable, to the Custodian or that irrevocable instructions have been given to cause such Shares to be so transferred and recorded,</w:t>
      </w:r>
    </w:p>
    <w:p>
      <w:pPr>
        <w:spacing w:after="0" w:line="5" w:lineRule="exact"/>
        <w:rPr>
          <w:sz w:val="20"/>
          <w:szCs w:val="20"/>
          <w:color w:val="auto"/>
        </w:rPr>
      </w:pPr>
    </w:p>
    <w:p>
      <w:pPr>
        <w:ind w:firstLine="8"/>
        <w:spacing w:after="0" w:line="286" w:lineRule="auto"/>
        <w:tabs>
          <w:tab w:leader="none" w:pos="285"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 w:name="page27"/>
    <w:bookmarkEnd w:id="26"/>
    <w:p>
      <w:pPr>
        <w:ind w:firstLine="648"/>
        <w:spacing w:after="0" w:line="254" w:lineRule="auto"/>
        <w:rPr>
          <w:sz w:val="20"/>
          <w:szCs w:val="20"/>
          <w:color w:val="auto"/>
        </w:rPr>
      </w:pPr>
      <w:r>
        <w:rPr>
          <w:rFonts w:ascii="Arial" w:cs="Arial" w:eastAsia="Arial" w:hAnsi="Arial"/>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Issuance of ADSs.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made arrangements with the Custodian for the Custodian to confirm to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all taxes and governmental charges and fees payable in connection with such deposit and the transfer of the Shares and the issuance of the ADS(s). The Depositary shall only issue ADSs in denomination of ten (10) ADSs or any integral multiple thereof and deliver, if applicable, ADR(s) evidencing such numbers of ADSs.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left="652"/>
        <w:spacing w:after="0"/>
        <w:tabs>
          <w:tab w:leader="none" w:pos="1952"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w:t>
      </w:r>
    </w:p>
    <w:p>
      <w:pPr>
        <w:spacing w:after="0" w:line="225" w:lineRule="exact"/>
        <w:rPr>
          <w:sz w:val="20"/>
          <w:szCs w:val="20"/>
          <w:color w:val="auto"/>
        </w:rPr>
      </w:pPr>
    </w:p>
    <w:p>
      <w:pPr>
        <w:ind w:left="-8" w:right="140" w:firstLine="656"/>
        <w:spacing w:after="0" w:line="287" w:lineRule="auto"/>
        <w:tabs>
          <w:tab w:leader="none" w:pos="1525"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as promptly as commercially practicable register the transfer of ADRs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on the books maintained for such purpose and the Depositary shall as promptly as commercially practicable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w:t>
      </w:r>
    </w:p>
    <w:p>
      <w:pPr>
        <w:spacing w:after="0" w:line="2" w:lineRule="exact"/>
        <w:rPr>
          <w:rFonts w:ascii="Arial" w:cs="Arial" w:eastAsia="Arial" w:hAnsi="Arial"/>
          <w:sz w:val="16"/>
          <w:szCs w:val="16"/>
          <w:b w:val="1"/>
          <w:bCs w:val="1"/>
          <w:color w:val="auto"/>
        </w:rPr>
      </w:pPr>
    </w:p>
    <w:p>
      <w:pPr>
        <w:ind w:left="-8" w:right="80" w:firstLine="8"/>
        <w:spacing w:after="0" w:line="290" w:lineRule="auto"/>
        <w:tabs>
          <w:tab w:leader="none" w:pos="20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the applicable ADRs, of the Deposit Agreement and of applicable law, in each case as in effect at the time thereof.</w:t>
      </w:r>
    </w:p>
    <w:p>
      <w:pPr>
        <w:spacing w:after="0" w:line="160" w:lineRule="exact"/>
        <w:rPr>
          <w:rFonts w:ascii="Arial" w:cs="Arial" w:eastAsia="Arial" w:hAnsi="Arial"/>
          <w:sz w:val="16"/>
          <w:szCs w:val="16"/>
          <w:color w:val="auto"/>
        </w:rPr>
      </w:pPr>
    </w:p>
    <w:p>
      <w:pPr>
        <w:ind w:left="-8" w:firstLine="656"/>
        <w:spacing w:after="0" w:line="254" w:lineRule="auto"/>
        <w:tabs>
          <w:tab w:leader="none" w:pos="149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Combination &amp; Split-Up</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Registrar shall as promptly as commercially practicable register the split-up or combination of ADRs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of the ADSs represented thereby) on the books maintained for such purpose and the Depositary shall as promptly as commercially practicable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w:t>
      </w:r>
      <w:r>
        <w:rPr>
          <w:rFonts w:ascii="Arial" w:cs="Arial" w:eastAsia="Arial" w:hAnsi="Arial"/>
          <w:sz w:val="18"/>
          <w:szCs w:val="18"/>
          <w:color w:val="auto"/>
        </w:rPr>
        <w:t xml:space="preserve"> </w:t>
      </w:r>
      <w:r>
        <w:rPr>
          <w:rFonts w:ascii="Arial" w:cs="Arial" w:eastAsia="Arial" w:hAnsi="Arial"/>
          <w:sz w:val="18"/>
          <w:szCs w:val="18"/>
          <w:i w:val="1"/>
          <w:iCs w:val="1"/>
          <w:color w:val="auto"/>
        </w:rPr>
        <w:t>however, in each case</w:t>
      </w:r>
      <w:r>
        <w:rPr>
          <w:rFonts w:ascii="Arial" w:cs="Arial" w:eastAsia="Arial" w:hAnsi="Arial"/>
          <w:sz w:val="18"/>
          <w:szCs w:val="18"/>
          <w:color w:val="auto"/>
        </w:rPr>
        <w:t>, to the terms and conditions of the applicable ADRs, of the Deposit Agreement and of applicable law, in each case as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thereof.</w:t>
      </w:r>
    </w:p>
    <w:p>
      <w:pPr>
        <w:spacing w:after="0" w:line="29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29" w:name="page30"/>
    <w:bookmarkEnd w:id="29"/>
    <w:p>
      <w:pPr>
        <w:ind w:firstLine="648"/>
        <w:spacing w:after="0" w:line="288"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Articles of Association and of any applicable laws and the rules of the applicable book-entry settlement entity, and to any provisions of or governing the Deposited Securities , in each case as in effect at the time thereof.</w:t>
      </w:r>
    </w:p>
    <w:p>
      <w:pPr>
        <w:spacing w:after="0" w:line="16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as promptly as commercially practicable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Depositary shall accept for surrender only a number of ADSs representing a whole number of Shares.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required to be withheld) to the person surrendering the ADSs.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0" w:name="page31"/>
    <w:bookmarkEnd w:id="30"/>
    <w:p>
      <w:pPr>
        <w:ind w:firstLine="648"/>
        <w:spacing w:after="0" w:line="255"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r>
        <w:rPr>
          <w:rFonts w:ascii="Arial" w:cs="Arial" w:eastAsia="Arial" w:hAnsi="Arial"/>
          <w:sz w:val="16"/>
          <w:szCs w:val="16"/>
          <w:b w:val="1"/>
          <w:bCs w:val="1"/>
          <w:color w:val="auto"/>
        </w:rPr>
        <w:t>.</w:t>
      </w:r>
    </w:p>
    <w:p>
      <w:pPr>
        <w:spacing w:after="0" w:line="225" w:lineRule="exact"/>
        <w:rPr>
          <w:sz w:val="20"/>
          <w:szCs w:val="20"/>
          <w:color w:val="auto"/>
        </w:rPr>
      </w:pPr>
    </w:p>
    <w:p>
      <w:pPr>
        <w:ind w:right="20" w:firstLine="656"/>
        <w:spacing w:after="0" w:line="285" w:lineRule="auto"/>
        <w:tabs>
          <w:tab w:leader="none" w:pos="1533"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 (iii) compliance with</w:t>
      </w:r>
    </w:p>
    <w:p>
      <w:pPr>
        <w:spacing w:after="0" w:line="3" w:lineRule="exact"/>
        <w:rPr>
          <w:rFonts w:ascii="Arial" w:cs="Arial" w:eastAsia="Arial" w:hAnsi="Arial"/>
          <w:sz w:val="16"/>
          <w:szCs w:val="16"/>
          <w:b w:val="1"/>
          <w:bCs w:val="1"/>
          <w:color w:val="auto"/>
        </w:rPr>
      </w:pPr>
    </w:p>
    <w:p>
      <w:pPr>
        <w:jc w:val="both"/>
        <w:ind w:right="80" w:firstLine="8"/>
        <w:spacing w:after="0" w:line="255"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86" w:lineRule="exact"/>
        <w:rPr>
          <w:rFonts w:ascii="Arial" w:cs="Arial" w:eastAsia="Arial" w:hAnsi="Arial"/>
          <w:sz w:val="18"/>
          <w:szCs w:val="18"/>
          <w:color w:val="auto"/>
        </w:rPr>
      </w:pPr>
    </w:p>
    <w:p>
      <w:pPr>
        <w:ind w:right="20" w:firstLine="656"/>
        <w:spacing w:after="0" w:line="272" w:lineRule="auto"/>
        <w:tabs>
          <w:tab w:leader="none" w:pos="1498"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ADSs against deposits of Shares generally or against deposits of particular Shares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(whereupon the Depositary shall notify the Company)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72" w:lineRule="exact"/>
        <w:rPr>
          <w:rFonts w:ascii="Arial" w:cs="Arial" w:eastAsia="Arial" w:hAnsi="Arial"/>
          <w:sz w:val="17"/>
          <w:szCs w:val="17"/>
          <w:b w:val="1"/>
          <w:bCs w:val="1"/>
          <w:color w:val="auto"/>
        </w:rPr>
      </w:pPr>
    </w:p>
    <w:p>
      <w:pPr>
        <w:ind w:right="40" w:firstLine="656"/>
        <w:spacing w:after="0" w:line="274" w:lineRule="auto"/>
        <w:tabs>
          <w:tab w:leader="none" w:pos="1523"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80" w:firstLine="648"/>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 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w:t>
      </w:r>
    </w:p>
    <w:p>
      <w:pPr>
        <w:spacing w:after="0" w:line="2" w:lineRule="exact"/>
        <w:rPr>
          <w:sz w:val="20"/>
          <w:szCs w:val="20"/>
          <w:color w:val="auto"/>
        </w:rPr>
      </w:pPr>
    </w:p>
    <w:p>
      <w:pPr>
        <w:jc w:val="both"/>
        <w:ind w:right="40" w:firstLine="8"/>
        <w:spacing w:after="0" w:line="295"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58"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Cancellation and Destruction of Surrendered ADRs; Maintenance of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All ADRs surrendered to the Depositary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canceled by the Depositary. Canceled ADRs shall not be entitled to any benefits under the Deposit Agreement or be valid or enforceable against the Depositary or the Company for any purpose. The Depositary is authorized to destroy ADRs so canceled, provided the Depositary maintains a record of all destroyed ADRs. Any ADSs held in book-entry form (</w:t>
      </w:r>
      <w:r>
        <w:rPr>
          <w:rFonts w:ascii="Arial" w:cs="Arial" w:eastAsia="Arial" w:hAnsi="Arial"/>
          <w:sz w:val="18"/>
          <w:szCs w:val="18"/>
          <w:i w:val="1"/>
          <w:iCs w:val="1"/>
          <w:color w:val="auto"/>
        </w:rPr>
        <w:t>e.g.</w:t>
      </w:r>
      <w:r>
        <w:rPr>
          <w:rFonts w:ascii="Arial" w:cs="Arial" w:eastAsia="Arial" w:hAnsi="Arial"/>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8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are deposited which (i) entitle the holders thereof to receive a per-share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7"/>
          <w:szCs w:val="17"/>
          <w:u w:val="single" w:color="auto"/>
          <w:color w:val="auto"/>
        </w:rPr>
        <w:t>Full Entitlement Shares</w:t>
      </w:r>
      <w:r>
        <w:rPr>
          <w:rFonts w:ascii="Arial" w:cs="Arial" w:eastAsia="Arial" w:hAnsi="Arial"/>
          <w:sz w:val="17"/>
          <w:szCs w:val="17"/>
          <w:color w:val="auto"/>
        </w:rPr>
        <w:t>” and the Shares with different entitlement, “</w:t>
      </w:r>
      <w:r>
        <w:rPr>
          <w:rFonts w:ascii="Arial" w:cs="Arial" w:eastAsia="Arial" w:hAnsi="Arial"/>
          <w:sz w:val="17"/>
          <w:szCs w:val="17"/>
          <w:u w:val="single" w:color="auto"/>
          <w:color w:val="auto"/>
        </w:rPr>
        <w:t>Partial Entitlement Shares</w:t>
      </w:r>
      <w:r>
        <w:rPr>
          <w:rFonts w:ascii="Arial" w:cs="Arial" w:eastAsia="Arial" w:hAnsi="Arial"/>
          <w:sz w:val="17"/>
          <w:szCs w:val="17"/>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7"/>
          <w:szCs w:val="17"/>
          <w:u w:val="single" w:color="auto"/>
          <w:color w:val="auto"/>
        </w:rPr>
        <w:t>Partial Entitlement ADSs/ADRs</w:t>
      </w:r>
      <w:r>
        <w:rPr>
          <w:rFonts w:ascii="Arial" w:cs="Arial" w:eastAsia="Arial" w:hAnsi="Arial"/>
          <w:sz w:val="17"/>
          <w:szCs w:val="17"/>
          <w:color w:val="auto"/>
        </w:rPr>
        <w:t>” and “</w:t>
      </w:r>
      <w:r>
        <w:rPr>
          <w:rFonts w:ascii="Arial" w:cs="Arial" w:eastAsia="Arial" w:hAnsi="Arial"/>
          <w:sz w:val="17"/>
          <w:szCs w:val="17"/>
          <w:u w:val="single" w:color="auto"/>
          <w:color w:val="auto"/>
        </w:rPr>
        <w:t>Full Entitlement ADSs/ADRs</w:t>
      </w:r>
      <w:r>
        <w:rPr>
          <w:rFonts w:ascii="Arial" w:cs="Arial" w:eastAsia="Arial" w:hAnsi="Arial"/>
          <w:sz w:val="17"/>
          <w:szCs w:val="17"/>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 w:name="page33"/>
    <w:bookmarkEnd w:id="32"/>
    <w:p>
      <w:pPr>
        <w:ind w:right="40" w:firstLine="648"/>
        <w:spacing w:after="0" w:line="289"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w:t>
      </w:r>
    </w:p>
    <w:p>
      <w:pPr>
        <w:spacing w:after="0" w:line="2" w:lineRule="exact"/>
        <w:rPr>
          <w:sz w:val="20"/>
          <w:szCs w:val="20"/>
          <w:color w:val="auto"/>
        </w:rPr>
      </w:pPr>
    </w:p>
    <w:p>
      <w:pPr>
        <w:ind w:right="40" w:firstLine="8"/>
        <w:spacing w:after="0" w:line="281"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w:t>
      </w:r>
    </w:p>
    <w:p>
      <w:pPr>
        <w:spacing w:after="0" w:line="12" w:lineRule="exact"/>
        <w:rPr>
          <w:rFonts w:ascii="Arial" w:cs="Arial" w:eastAsia="Arial" w:hAnsi="Arial"/>
          <w:sz w:val="16"/>
          <w:szCs w:val="16"/>
          <w:color w:val="auto"/>
        </w:rPr>
      </w:pPr>
    </w:p>
    <w:p>
      <w:pPr>
        <w:ind w:firstLine="8"/>
        <w:spacing w:after="0" w:line="284"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4" w:name="page35"/>
    <w:bookmarkEnd w:id="34"/>
    <w:p>
      <w:pPr>
        <w:ind w:firstLine="648"/>
        <w:spacing w:after="0" w:line="288"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request of the Company, to the extent practicable, shall, withhold the execution or delivery or registration of transfer of any ADR or ADS or the distribution or sale of any dividend or distribution of rights or of the proceeds thereof or, to the extent not limited by the terms of Section</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right="80" w:firstLine="648"/>
        <w:spacing w:after="0" w:line="269"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7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as promptly as commercially practicable, and at the Company’s expense, any such request from the Company to the Holders and to forward to the Company any such responses to such requests received by the Depositary.</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firstLine="648"/>
        <w:spacing w:after="0" w:line="254"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Ownership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contained in the Deposit Agreement or any ADR(s)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restrict transfers of the Shares where such transfer might result in ownership of Shares exceeding limits imposed by applicable law or the Articles of Association.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Nothing herein shall be interpreted as obligating the Depositary or the Company to ensure compliance with the ownership restrictions described in this Section 3.5.</w:t>
      </w:r>
    </w:p>
    <w:p>
      <w:pPr>
        <w:spacing w:after="0" w:line="18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Deposited Securities, the Company shall give notice thereof to the Depositary at least twenty (20)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for determining the holders of Deposited Securities entitled to receive such distribution. Upon the timely receipt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notice, the Depositary shall establish the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from such conversion (net of</w:t>
      </w:r>
    </w:p>
    <w:p>
      <w:pPr>
        <w:spacing w:after="0" w:line="5" w:lineRule="exact"/>
        <w:rPr>
          <w:sz w:val="20"/>
          <w:szCs w:val="20"/>
          <w:color w:val="auto"/>
        </w:rPr>
      </w:pPr>
    </w:p>
    <w:p>
      <w:pPr>
        <w:ind w:right="20" w:firstLine="8"/>
        <w:spacing w:after="0" w:line="284" w:lineRule="auto"/>
        <w:tabs>
          <w:tab w:leader="none" w:pos="2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Shares, the Company shall give notice thereof to the Depositary at least twenty(20)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 w:name="page40"/>
    <w:bookmarkEnd w:id="3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forty-five (45)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 w:name="page41"/>
    <w:bookmarkEnd w:id="40"/>
    <w:p>
      <w:pPr>
        <w:ind w:left="620"/>
        <w:spacing w:after="0"/>
        <w:tabs>
          <w:tab w:leader="none" w:pos="192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25" w:lineRule="exact"/>
        <w:rPr>
          <w:sz w:val="20"/>
          <w:szCs w:val="20"/>
          <w:color w:val="auto"/>
        </w:rPr>
      </w:pPr>
    </w:p>
    <w:p>
      <w:pPr>
        <w:ind w:left="-40" w:firstLine="656"/>
        <w:spacing w:after="0" w:line="268" w:lineRule="auto"/>
        <w:tabs>
          <w:tab w:leader="none" w:pos="1493"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Distribution to ADS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Company intends to distribute to the holders of the Deposited Securities rights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subscribe for additional Shares, the Company shall give notice thereof to the Depositary at least forty-five (45) days prior to the proposed distribution specifying, </w:t>
      </w:r>
      <w:r>
        <w:rPr>
          <w:rFonts w:ascii="Arial" w:cs="Arial" w:eastAsia="Arial" w:hAnsi="Arial"/>
          <w:sz w:val="17"/>
          <w:szCs w:val="17"/>
          <w:i w:val="1"/>
          <w:iCs w:val="1"/>
          <w:color w:val="auto"/>
        </w:rPr>
        <w:t>inter alia</w:t>
      </w:r>
      <w:r>
        <w:rPr>
          <w:rFonts w:ascii="Arial" w:cs="Arial" w:eastAsia="Arial" w:hAnsi="Arial"/>
          <w:sz w:val="17"/>
          <w:szCs w:val="17"/>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sectPr>
      </w:pPr>
    </w:p>
    <w:bookmarkStart w:id="41" w:name="page42"/>
    <w:bookmarkEnd w:id="41"/>
    <w:p>
      <w:pPr>
        <w:ind w:firstLine="656"/>
        <w:spacing w:after="0" w:line="273" w:lineRule="auto"/>
        <w:tabs>
          <w:tab w:leader="none" w:pos="1498"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72" w:lineRule="exact"/>
        <w:rPr>
          <w:rFonts w:ascii="Arial" w:cs="Arial" w:eastAsia="Arial" w:hAnsi="Arial"/>
          <w:sz w:val="17"/>
          <w:szCs w:val="17"/>
          <w:b w:val="1"/>
          <w:bCs w:val="1"/>
          <w:color w:val="auto"/>
        </w:rPr>
      </w:pPr>
    </w:p>
    <w:p>
      <w:pPr>
        <w:ind w:right="320" w:firstLine="656"/>
        <w:spacing w:after="0" w:line="313" w:lineRule="auto"/>
        <w:tabs>
          <w:tab w:leader="none" w:pos="152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Depositary is unable to make any rights available to Holders upon the terms described in Section 4.4(a) or to</w:t>
      </w:r>
      <w:r>
        <w:rPr>
          <w:rFonts w:ascii="Arial" w:cs="Arial" w:eastAsia="Arial" w:hAnsi="Arial"/>
          <w:sz w:val="17"/>
          <w:szCs w:val="17"/>
          <w:b w:val="1"/>
          <w:bCs w:val="1"/>
          <w:color w:val="auto"/>
        </w:rPr>
        <w:t xml:space="preserve"> </w:t>
      </w:r>
      <w:r>
        <w:rPr>
          <w:rFonts w:ascii="Arial" w:cs="Arial" w:eastAsia="Arial" w:hAnsi="Arial"/>
          <w:sz w:val="17"/>
          <w:szCs w:val="17"/>
          <w:color w:val="auto"/>
        </w:rPr>
        <w:t>arrange for the sale of the rights upon the terms described in Section 4.4(b), the Depositary shall allow such rights to lapse.</w:t>
      </w:r>
    </w:p>
    <w:p>
      <w:pPr>
        <w:spacing w:after="0" w:line="14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 w:name="page43"/>
    <w:bookmarkEnd w:id="42"/>
    <w:p>
      <w:pPr>
        <w:ind w:firstLine="648"/>
        <w:spacing w:after="0" w:line="264"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56"/>
        <w:spacing w:after="0" w:line="255" w:lineRule="auto"/>
        <w:tabs>
          <w:tab w:leader="none" w:pos="1533"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9" w:lineRule="exact"/>
        <w:rPr>
          <w:rFonts w:ascii="Arial" w:cs="Arial" w:eastAsia="Arial" w:hAnsi="Arial"/>
          <w:sz w:val="18"/>
          <w:szCs w:val="18"/>
          <w:b w:val="1"/>
          <w:bCs w:val="1"/>
          <w:color w:val="auto"/>
        </w:rPr>
      </w:pPr>
    </w:p>
    <w:p>
      <w:pPr>
        <w:ind w:right="160" w:firstLine="656"/>
        <w:spacing w:after="0" w:line="272" w:lineRule="auto"/>
        <w:tabs>
          <w:tab w:leader="none" w:pos="1498" w:val="left"/>
        </w:tabs>
        <w:numPr>
          <w:ilvl w:val="1"/>
          <w:numId w:val="20"/>
        </w:numPr>
        <w:rPr>
          <w:rFonts w:ascii="Arial" w:cs="Arial" w:eastAsia="Arial" w:hAnsi="Arial"/>
          <w:sz w:val="17"/>
          <w:szCs w:val="17"/>
          <w:b w:val="1"/>
          <w:bCs w:val="1"/>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77" w:lineRule="exact"/>
        <w:rPr>
          <w:rFonts w:ascii="Arial" w:cs="Arial" w:eastAsia="Arial" w:hAnsi="Arial"/>
          <w:sz w:val="17"/>
          <w:szCs w:val="17"/>
          <w:b w:val="1"/>
          <w:bCs w:val="1"/>
          <w:color w:val="auto"/>
        </w:rPr>
      </w:pPr>
    </w:p>
    <w:p>
      <w:pPr>
        <w:ind w:right="80" w:firstLine="656"/>
        <w:spacing w:after="0" w:line="285" w:lineRule="auto"/>
        <w:tabs>
          <w:tab w:leader="none" w:pos="1523"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w:t>
      </w:r>
    </w:p>
    <w:p>
      <w:pPr>
        <w:spacing w:after="0" w:line="2" w:lineRule="exact"/>
        <w:rPr>
          <w:rFonts w:ascii="Arial" w:cs="Arial" w:eastAsia="Arial" w:hAnsi="Arial"/>
          <w:sz w:val="16"/>
          <w:szCs w:val="16"/>
          <w:b w:val="1"/>
          <w:bCs w:val="1"/>
          <w:color w:val="auto"/>
        </w:rPr>
      </w:pPr>
    </w:p>
    <w:p>
      <w:pPr>
        <w:ind w:right="500" w:firstLine="8"/>
        <w:spacing w:after="0" w:line="290"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both"/>
        <w:ind w:right="220" w:firstLine="656"/>
        <w:spacing w:after="0" w:line="264" w:lineRule="auto"/>
        <w:tabs>
          <w:tab w:leader="none" w:pos="1498"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b w:val="1"/>
          <w:bCs w:val="1"/>
          <w:u w:val="single" w:color="auto"/>
          <w:color w:val="auto"/>
        </w:rPr>
        <w:t>Distributions with Respect to Deposited Securities in Bearer Form</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Article IV, distributions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give notice thereof to the Depositary at least forty-five (45)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reasonably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7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firstLine="648"/>
        <w:spacing w:after="0" w:line="253"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Conversion of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the Depositary or the Custodian shall receive Foreign Currency, by way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9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1"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(a) the Depositary shall receive notice of the fixing of a record date by the Company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7"/>
          <w:szCs w:val="17"/>
          <w:u w:val="single" w:color="auto"/>
          <w:color w:val="auto"/>
        </w:rPr>
        <w:t>ADS Record Date</w:t>
      </w:r>
      <w:r>
        <w:rPr>
          <w:rFonts w:ascii="Arial" w:cs="Arial" w:eastAsia="Arial" w:hAnsi="Arial"/>
          <w:sz w:val="17"/>
          <w:szCs w:val="17"/>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ind w:firstLine="648"/>
        <w:spacing w:after="0" w:line="286"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after the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 Notwithstanding anything contained in the Deposit Agreement to the contrary, in the event the Company fails to timely request that the Depositary distribute the information as provided for in this Section 4.10, the Depositary agrees to use commercially reasonable efforts to perform the actions contemplated in this Section 4.10, and the Company, the Holders and the Beneficial Owners acknowledge that the Depositary shall have no liability for the Depositary’s failure to perform the actions contemplated in this Section 4.10 where such notice has not been so timely given, other than its failure to use commercially reasonable efforts, as provided herein.</w:t>
      </w:r>
    </w:p>
    <w:p>
      <w:pPr>
        <w:spacing w:after="0" w:line="1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8"/>
          <w:szCs w:val="18"/>
          <w:i w:val="1"/>
          <w:iCs w:val="1"/>
          <w:color w:val="auto"/>
        </w:rPr>
        <w:t>e.g.</w:t>
      </w:r>
      <w:r>
        <w:rPr>
          <w:rFonts w:ascii="Arial" w:cs="Arial" w:eastAsia="Arial" w:hAnsi="Arial"/>
          <w:sz w:val="18"/>
          <w:szCs w:val="18"/>
          <w:color w:val="auto"/>
        </w:rPr>
        <w:t>, by reference to a website containing the materials for retrieval or a contact for requesting copies of the materials).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 w:name="page47"/>
    <w:bookmarkEnd w:id="46"/>
    <w:p>
      <w:pPr>
        <w:ind w:firstLine="648"/>
        <w:spacing w:after="0" w:line="297" w:lineRule="auto"/>
        <w:rPr>
          <w:sz w:val="20"/>
          <w:szCs w:val="20"/>
          <w:color w:val="auto"/>
        </w:rPr>
      </w:pPr>
      <w:r>
        <w:rPr>
          <w:rFonts w:ascii="Arial" w:cs="Arial" w:eastAsia="Arial" w:hAnsi="Arial"/>
          <w:sz w:val="16"/>
          <w:szCs w:val="16"/>
          <w:color w:val="auto"/>
        </w:rPr>
        <w:t>The Depositary has been advised by the Company that under the Articles of Association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as in effect on the date of the Deposit Agreement, a poll may be demanded by (a) the chairman of such meeting or (b) any shareholder(s) present in person or by proxy and representing not less than 5% of the total voting rights of all the shareholders having the right to vote on the resolution (excluding any shares held in treasury).</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w:t>
      </w:r>
    </w:p>
    <w:p>
      <w:pPr>
        <w:spacing w:after="0" w:line="2" w:lineRule="exact"/>
        <w:rPr>
          <w:sz w:val="20"/>
          <w:szCs w:val="20"/>
          <w:color w:val="auto"/>
        </w:rPr>
      </w:pPr>
    </w:p>
    <w:p>
      <w:pPr>
        <w:ind w:right="20" w:firstLine="8"/>
        <w:spacing w:after="0" w:line="268" w:lineRule="auto"/>
        <w:tabs>
          <w:tab w:leader="none" w:pos="245"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the Depositary will instruct the Custodian to vote all Deposited Securities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the voting instructions received timely from a majority of Holders of ADSs who provided voting instructions, and (b) </w:t>
      </w:r>
      <w:r>
        <w:rPr>
          <w:rFonts w:ascii="Arial" w:cs="Arial" w:eastAsia="Arial" w:hAnsi="Arial"/>
          <w:sz w:val="17"/>
          <w:szCs w:val="17"/>
          <w:i w:val="1"/>
          <w:iCs w:val="1"/>
          <w:color w:val="auto"/>
        </w:rPr>
        <w:t>in the event voting</w:t>
      </w:r>
      <w:r>
        <w:rPr>
          <w:rFonts w:ascii="Arial" w:cs="Arial" w:eastAsia="Arial" w:hAnsi="Arial"/>
          <w:sz w:val="17"/>
          <w:szCs w:val="17"/>
          <w:color w:val="auto"/>
        </w:rPr>
        <w:t xml:space="preserve"> </w:t>
      </w:r>
      <w:r>
        <w:rPr>
          <w:rFonts w:ascii="Arial" w:cs="Arial" w:eastAsia="Arial" w:hAnsi="Arial"/>
          <w:sz w:val="17"/>
          <w:szCs w:val="17"/>
          <w:i w:val="1"/>
          <w:iCs w:val="1"/>
          <w:color w:val="auto"/>
        </w:rPr>
        <w:t>takes place at a shareholders’ meeting by poll</w:t>
      </w:r>
      <w:r>
        <w:rPr>
          <w:rFonts w:ascii="Arial" w:cs="Arial" w:eastAsia="Arial" w:hAnsi="Arial"/>
          <w:sz w:val="17"/>
          <w:szCs w:val="17"/>
          <w:color w:val="auto"/>
        </w:rPr>
        <w:t>, the Depositary will instruct the Custodian to vote the Deposited Securities in accordance with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received timely from the Holders of ADSs. If voting is by poll and the Depositary does not receive voting instructions from a Holder as of the ADS Record Date on or before the date established by the Depositary for such purpose, such Holder shall be deemed, and the Depositary shall (unless otherwise specified in the notice distributed to Holders)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2"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timely voting instructions received from a majority of Holders of ADSs who provided voting instructions, and (b) as contemplated in this Section 4.10).</w:t>
      </w:r>
    </w:p>
    <w:p>
      <w:pPr>
        <w:spacing w:after="0" w:line="252" w:lineRule="auto"/>
        <w:rPr>
          <w:sz w:val="20"/>
          <w:szCs w:val="20"/>
          <w:color w:val="auto"/>
        </w:rPr>
      </w:pPr>
      <w:r>
        <w:rPr>
          <w:rFonts w:ascii="Arial" w:cs="Arial" w:eastAsia="Arial" w:hAnsi="Arial"/>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both"/>
        <w:ind w:right="80" w:firstLine="648"/>
        <w:spacing w:after="0" w:line="264"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required by Cayman Islands law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or otherwise take action, in a timely manner.</w:t>
      </w:r>
    </w:p>
    <w:p>
      <w:pPr>
        <w:spacing w:after="0" w:line="166"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2" w:lineRule="exact"/>
        <w:rPr>
          <w:sz w:val="20"/>
          <w:szCs w:val="20"/>
          <w:color w:val="auto"/>
        </w:rPr>
      </w:pPr>
    </w:p>
    <w:p>
      <w:pPr>
        <w:ind w:right="20" w:firstLine="8"/>
        <w:spacing w:after="0" w:line="281"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w:t>
      </w:r>
    </w:p>
    <w:p>
      <w:pPr>
        <w:spacing w:after="0" w:line="7" w:lineRule="exact"/>
        <w:rPr>
          <w:rFonts w:ascii="Arial" w:cs="Arial" w:eastAsia="Arial" w:hAnsi="Arial"/>
          <w:sz w:val="16"/>
          <w:szCs w:val="16"/>
          <w:color w:val="auto"/>
        </w:rPr>
      </w:pPr>
    </w:p>
    <w:p>
      <w:pPr>
        <w:ind w:left="280" w:hanging="272"/>
        <w:spacing w:after="0"/>
        <w:tabs>
          <w:tab w:leader="none" w:pos="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foreign exchange exposure or loss incurred in connection with such sale, or (iii) any liability to the purchaser of such Deposited Property.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6"/>
          <w:szCs w:val="16"/>
          <w:b w:val="1"/>
          <w:bCs w:val="1"/>
          <w:u w:val="single" w:color="auto"/>
          <w:color w:val="auto"/>
        </w:rPr>
        <w:t>Available Information</w:t>
      </w:r>
      <w:r>
        <w:rPr>
          <w:rFonts w:ascii="Arial" w:cs="Arial" w:eastAsia="Arial" w:hAnsi="Arial"/>
          <w:sz w:val="16"/>
          <w:szCs w:val="16"/>
          <w:b w:val="1"/>
          <w:bCs w:val="1"/>
          <w:color w:val="auto"/>
        </w:rPr>
        <w:t>.</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Company is subject to the periodic reporting requirements of the Exchange Act and, accordingly, is required to file or furnish certain reports with the Commission. These reports can be retrieved from the Commission's website (</w:t>
      </w:r>
      <w:r>
        <w:rPr>
          <w:rFonts w:ascii="Arial" w:cs="Arial" w:eastAsia="Arial" w:hAnsi="Arial"/>
          <w:sz w:val="16"/>
          <w:szCs w:val="16"/>
          <w:u w:val="single" w:color="auto"/>
          <w:color w:val="auto"/>
        </w:rPr>
        <w:t>www.sec.gov</w:t>
      </w:r>
      <w:r>
        <w:rPr>
          <w:rFonts w:ascii="Arial" w:cs="Arial" w:eastAsia="Arial" w:hAnsi="Arial"/>
          <w:sz w:val="16"/>
          <w:szCs w:val="16"/>
          <w:color w:val="auto"/>
        </w:rPr>
        <w:t>) and can be inspected and copied at the public reference facilities maintained by the Commission located (as of the date of the Deposit Agreement) at 100 F Street, N.E., Washington D.C. 20549.</w:t>
      </w:r>
    </w:p>
    <w:p>
      <w:pPr>
        <w:spacing w:after="0" w:line="14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make available for inspection by Holders at its Principal Office, as promptly as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84"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color w:val="auto"/>
        </w:rPr>
        <w:t>. 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ind w:firstLine="648"/>
        <w:spacing w:after="0" w:line="289" w:lineRule="auto"/>
        <w:rPr>
          <w:sz w:val="20"/>
          <w:szCs w:val="20"/>
          <w:color w:val="auto"/>
        </w:rPr>
      </w:pPr>
      <w:r>
        <w:rPr>
          <w:rFonts w:ascii="Arial" w:cs="Arial" w:eastAsia="Arial" w:hAnsi="Arial"/>
          <w:sz w:val="16"/>
          <w:szCs w:val="16"/>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6"/>
          <w:szCs w:val="16"/>
          <w:i w:val="1"/>
          <w:iCs w:val="1"/>
          <w:color w:val="auto"/>
        </w:rPr>
        <w:t>e.g.</w:t>
      </w:r>
      <w:r>
        <w:rPr>
          <w:rFonts w:ascii="Arial" w:cs="Arial" w:eastAsia="Arial" w:hAnsi="Arial"/>
          <w:sz w:val="16"/>
          <w:szCs w:val="16"/>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None of the Company, the Depositary or the Custodian shall be liable for the failure by any Holder or Beneficial Owner to obtain the benefits of credits on the basis of non-U.S. tax paid against such Holder’s or Beneficial Owner’s income tax liability.</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Neither the Company nor the Depositary shall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8"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any ADSs are listed on one or more stock exchanges or automated quotation systems in the United States, the Depositary shall act as Registrar or appoint a Registrar or one or more co-registrars for registration (whereupon the Depositary shall notify the Company)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(whereupon the Depositary shall notify the Company).</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be obligated to do or perform any act which is inconsistent with the provisions of the Deposit Agreement or incur any liability (to the extent not limited by Section 7.8(b)) (i) if the Depositary, the Custodian, the Company or their respective agents shall be prevented or forbidden from,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ind w:right="26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177" w:lineRule="exact"/>
        <w:rPr>
          <w:sz w:val="20"/>
          <w:szCs w:val="20"/>
          <w:color w:val="auto"/>
        </w:rPr>
      </w:pPr>
    </w:p>
    <w:p>
      <w:pPr>
        <w:jc w:val="both"/>
        <w:ind w:right="36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 w:name="page53"/>
    <w:bookmarkEnd w:id="52"/>
    <w:p>
      <w:pPr>
        <w:ind w:right="20"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Resignation and Removal of the Depositary; Appointment of Successor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may at any time resign as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4"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10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u w:val="single" w:color="auto"/>
          <w:color w:val="auto"/>
        </w:rPr>
        <w:t>The Custodian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initially appointed Citibank, N.A. - Hong Kong as Custodian for the purpose of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6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Citibank may at any time act as Custodian of the Deposited Property pursuant to the Deposit Agreement, in which case any reference to Custodian shall mean Citibank solely in its capacity as Custodian pursuant to the Deposit Agreement, and the Depositary shall provide notice thereof to the Company.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7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firstLine="648"/>
        <w:spacing w:after="0" w:line="287"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reports prepared in accordance with the applicable requirements of the Commission to the extent such notices, reports and communications are not available on the Company’s website or are not otherwise publicly available.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made available to the Depositary and the Custodian a copy of the Articles of Association along with the provisions of or governing the Shares and any other Deposited Securities issued by the Company in connection with such Shares, and promptly upon any amendment thereto or change therein, the Company shall make available to the Depositary and the Custodian a copy of such amendment thereto or change therein to the extent such notices, reports and communications are not available on the Company’s website or are not otherwise publicly available. The Depositary may rely upon such copy for all purposes of the Deposit Agreement.</w:t>
      </w:r>
    </w:p>
    <w:p>
      <w:pPr>
        <w:spacing w:after="0" w:line="17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w:t>
      </w:r>
      <w:r>
        <w:rPr>
          <w:rFonts w:ascii="Arial" w:cs="Arial" w:eastAsia="Arial" w:hAnsi="Arial"/>
          <w:sz w:val="16"/>
          <w:szCs w:val="16"/>
          <w:color w:val="auto"/>
        </w:rPr>
        <w:t>The Company agrees that in the event it or any of its Affiliates proposes (i) an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the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16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to the Deposit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provided, however, that the Company shall not be liable for any fees, charges or expenses payable by Holders or Beneficial Owners under the Deposit Agreement. The Company shall not indemnify the Depositary, the Custodian or any of their respective directors, officers, employees, agents and Affiliates against any liability or expense arising out of the information relating to the Depositary or such Custodian, as the case may be, furnished in a writing to the Company, by the Depositary or such Custodian expressly for use in any registration statement, prospectus or preliminary prospectus relating to any Deposited Securities represented by the ADSs.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left="660"/>
        <w:spacing w:after="0"/>
        <w:rPr>
          <w:sz w:val="20"/>
          <w:szCs w:val="20"/>
          <w:color w:val="auto"/>
        </w:rPr>
      </w:pPr>
      <w:r>
        <w:rPr>
          <w:rFonts w:ascii="Arial" w:cs="Arial" w:eastAsia="Arial" w:hAnsi="Arial"/>
          <w:sz w:val="17"/>
          <w:szCs w:val="17"/>
          <w:color w:val="auto"/>
        </w:rPr>
        <w:t>The obligations set forth in this Section shall survive the termination of the Deposit Agreement and the succession or substitution of any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ADS Fees and Charges</w:t>
      </w:r>
      <w:r>
        <w:rPr>
          <w:rFonts w:ascii="Arial" w:cs="Arial" w:eastAsia="Arial" w:hAnsi="Arial"/>
          <w:sz w:val="16"/>
          <w:szCs w:val="16"/>
          <w:color w:val="auto"/>
        </w:rPr>
        <w:t>. The Company, the Holders, the Beneficial Owners, persons depositing Shares or withdrawing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in connection with the issuance and cancellation of ADSs, and persons receiving ADSs upon issuance or whose ADSs are being cancelled shall be required to pay to the Depositary the Depositary’s fees and related charges identified as payable by them respectively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in Section 6.1. The Depositary shall provide, without charge, a copy of its latest ADS fee schedule to anyone upon request.</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7" w:name="page58"/>
    <w:bookmarkEnd w:id="57"/>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6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ind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ind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No Third-Party Beneficiaries/Acknowledgments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is for the exclusive benefit of the parties 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mail, air courier or cable, telex or facsimile transmission, confirmed by letter personally delivered or sent by mail or air courier, addressed to Suite 802, West Tower, OmniVision, 88 Shangke Road, Pudong District, Shanghai, PRC 201210, </w:t>
      </w:r>
      <w:r>
        <w:rPr>
          <w:rFonts w:ascii="Arial" w:cs="Arial" w:eastAsia="Arial" w:hAnsi="Arial"/>
          <w:sz w:val="18"/>
          <w:szCs w:val="18"/>
          <w:u w:val="single" w:color="auto"/>
          <w:color w:val="auto"/>
        </w:rPr>
        <w:t>Attention</w:t>
      </w:r>
      <w:r>
        <w:rPr>
          <w:rFonts w:ascii="Arial" w:cs="Arial" w:eastAsia="Arial" w:hAnsi="Arial"/>
          <w:sz w:val="18"/>
          <w:szCs w:val="18"/>
          <w:color w:val="auto"/>
        </w:rPr>
        <w:t>: Chief Financial Officer, or to any other address which the Company may specify in writing to the Depositary.</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Any and all notices to be given to any Holder shall be deemed to have been duly given </w:t>
      </w:r>
      <w:r>
        <w:rPr>
          <w:rFonts w:ascii="Arial" w:cs="Arial" w:eastAsia="Arial" w:hAnsi="Arial"/>
          <w:sz w:val="17"/>
          <w:szCs w:val="17"/>
          <w:b w:val="1"/>
          <w:bCs w:val="1"/>
          <w:color w:val="auto"/>
        </w:rPr>
        <w:t>(a)</w:t>
      </w:r>
      <w:r>
        <w:rPr>
          <w:rFonts w:ascii="Arial" w:cs="Arial" w:eastAsia="Arial" w:hAnsi="Arial"/>
          <w:sz w:val="17"/>
          <w:szCs w:val="17"/>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Arial" w:cs="Arial" w:eastAsia="Arial" w:hAnsi="Arial"/>
          <w:sz w:val="17"/>
          <w:szCs w:val="17"/>
          <w:b w:val="1"/>
          <w:bCs w:val="1"/>
          <w:color w:val="auto"/>
        </w:rPr>
        <w:t>(b)</w:t>
      </w:r>
      <w:r>
        <w:rPr>
          <w:rFonts w:ascii="Arial" w:cs="Arial" w:eastAsia="Arial" w:hAnsi="Arial"/>
          <w:sz w:val="17"/>
          <w:szCs w:val="17"/>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2" w:name="page63"/>
    <w:bookmarkEnd w:id="62"/>
    <w:p>
      <w:pPr>
        <w:ind w:right="120"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hereunder and thereunder and provisions hereof and thereof shall be governed by, the laws of the State of New York without reference to the principles of choice of law thereof.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Cogency Global Inc. (the “</w:t>
      </w:r>
      <w:r>
        <w:rPr>
          <w:rFonts w:ascii="Arial" w:cs="Arial" w:eastAsia="Arial" w:hAnsi="Arial"/>
          <w:sz w:val="16"/>
          <w:szCs w:val="16"/>
          <w:u w:val="single" w:color="auto"/>
          <w:color w:val="auto"/>
        </w:rPr>
        <w:t>Agent</w:t>
      </w:r>
      <w:r>
        <w:rPr>
          <w:rFonts w:ascii="Arial" w:cs="Arial" w:eastAsia="Arial" w:hAnsi="Arial"/>
          <w:sz w:val="16"/>
          <w:szCs w:val="16"/>
          <w:color w:val="auto"/>
        </w:rPr>
        <w:t>”) now at 10 E. 40th Street, 10th Floor, New York, NY 10016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7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3" w:name="page64"/>
    <w:bookmarkEnd w:id="63"/>
    <w:p>
      <w:pPr>
        <w:ind w:right="18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540" w:firstLine="656"/>
        <w:spacing w:after="0" w:line="264" w:lineRule="auto"/>
        <w:tabs>
          <w:tab w:leader="none" w:pos="1488"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right="240" w:firstLine="656"/>
        <w:spacing w:after="0" w:line="264" w:lineRule="auto"/>
        <w:tabs>
          <w:tab w:leader="none" w:pos="1498"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b w:val="1"/>
          <w:bCs w:val="1"/>
          <w:u w:val="single" w:color="auto"/>
          <w:color w:val="auto"/>
        </w:rPr>
        <w:t>The Cayman Islands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the Cayman Islands laws and regulations and of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18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b w:val="1"/>
          <w:bCs w:val="1"/>
          <w:color w:val="auto"/>
        </w:rPr>
        <w:t>.</w:t>
      </w:r>
    </w:p>
    <w:p>
      <w:pPr>
        <w:spacing w:after="0" w:line="225" w:lineRule="exact"/>
        <w:rPr>
          <w:sz w:val="20"/>
          <w:szCs w:val="20"/>
          <w:color w:val="auto"/>
        </w:rPr>
      </w:pPr>
    </w:p>
    <w:p>
      <w:pPr>
        <w:ind w:right="20" w:firstLine="656"/>
        <w:spacing w:after="0" w:line="291" w:lineRule="auto"/>
        <w:tabs>
          <w:tab w:leader="none" w:pos="1488"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the Deposit Agreement to exhibits, articles, sections, subsections, and other subdivisions refer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60" w:lineRule="exact"/>
        <w:rPr>
          <w:rFonts w:ascii="Arial" w:cs="Arial" w:eastAsia="Arial" w:hAnsi="Arial"/>
          <w:sz w:val="16"/>
          <w:szCs w:val="16"/>
          <w:b w:val="1"/>
          <w:bCs w:val="1"/>
          <w:color w:val="auto"/>
        </w:rPr>
      </w:pPr>
    </w:p>
    <w:p>
      <w:pPr>
        <w:ind w:firstLine="656"/>
        <w:spacing w:after="0" w:line="254" w:lineRule="auto"/>
        <w:tabs>
          <w:tab w:leader="none" w:pos="149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ADRs</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in any ADR(s) to paragraphs, exhibits, articles, sections, subsections, and other subdivisions refer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firstLine="648"/>
        <w:spacing w:after="0" w:line="264" w:lineRule="auto"/>
        <w:rPr>
          <w:sz w:val="20"/>
          <w:szCs w:val="20"/>
          <w:color w:val="auto"/>
        </w:rPr>
      </w:pPr>
      <w:r>
        <w:rPr>
          <w:rFonts w:ascii="Arial" w:cs="Arial" w:eastAsia="Arial" w:hAnsi="Arial"/>
          <w:sz w:val="18"/>
          <w:szCs w:val="18"/>
          <w:color w:val="auto"/>
        </w:rPr>
        <w:t>IN WITNESS WHEREOF, I-MAB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I-MAB</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6" w:name="page67"/>
    <w:bookmarkEnd w:id="66"/>
    <w:p>
      <w:pPr>
        <w:jc w:val="center"/>
        <w:ind w:right="-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ADR]</w:t>
      </w:r>
    </w:p>
    <w:p>
      <w:pPr>
        <w:sectPr>
          <w:pgSz w:w="11900" w:h="16838" w:orient="portrait"/>
          <w:cols w:equalWidth="0" w:num="1">
            <w:col w:w="11340"/>
          </w:cols>
          <w:pgMar w:left="240" w:top="337"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CUSIP NUMBER: _______</w:t>
      </w:r>
    </w:p>
    <w:p>
      <w:pPr>
        <w:spacing w:after="0" w:line="430" w:lineRule="exact"/>
        <w:rPr>
          <w:sz w:val="20"/>
          <w:szCs w:val="20"/>
          <w:color w:val="auto"/>
        </w:rPr>
      </w:pPr>
    </w:p>
    <w:p>
      <w:pPr>
        <w:sectPr>
          <w:pgSz w:w="11900" w:h="16838" w:orient="portrait"/>
          <w:cols w:equalWidth="0" w:num="2">
            <w:col w:w="6140" w:space="720"/>
            <w:col w:w="4480"/>
          </w:cols>
          <w:pgMar w:left="240" w:top="337" w:right="319" w:bottom="1440" w:gutter="0" w:footer="0" w:header="0"/>
          <w:type w:val="continuous"/>
        </w:sectPr>
      </w:pPr>
    </w:p>
    <w:p>
      <w:pPr>
        <w:spacing w:after="0" w:line="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Depositary Shares (each ten (10) American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Depositary Shares represent the right to receive twenty-three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(23) fully paid ordinary shares)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DEPOSITED ORDINARY SHARES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I-MAB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(Incorporated under the laws of the Cayman Islands)</w:t>
      </w:r>
    </w:p>
    <w:p>
      <w:pPr>
        <w:sectPr>
          <w:pgSz w:w="11900" w:h="16838" w:orient="portrait"/>
          <w:cols w:equalWidth="0" w:num="1">
            <w:col w:w="11340"/>
          </w:cols>
          <w:pgMar w:left="240" w:top="337" w:right="319" w:bottom="1440" w:gutter="0" w:footer="0" w:header="0"/>
          <w:type w:val="continuous"/>
        </w:sectPr>
      </w:pPr>
    </w:p>
    <w:p>
      <w:pPr>
        <w:spacing w:after="0" w:line="248"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100"/>
        <w:spacing w:after="0" w:line="281" w:lineRule="auto"/>
        <w:rPr>
          <w:sz w:val="20"/>
          <w:szCs w:val="20"/>
          <w:color w:val="auto"/>
        </w:rPr>
      </w:pPr>
      <w:r>
        <w:rPr>
          <w:rFonts w:ascii="Arial" w:cs="Arial" w:eastAsia="Arial" w:hAnsi="Arial"/>
          <w:sz w:val="16"/>
          <w:szCs w:val="16"/>
          <w:color w:val="auto"/>
        </w:rPr>
        <w:t>deposited ordinary shares, including evidence of rights to receive such ordinary shares (the “Shares”), of I-Mab, an exempted company incorporated in the Cayman Islands, and its successors (the “Company”). As of the date of issuance of this ADR, each ten (10) ADSs represent the right to receive twenty-three</w:t>
      </w:r>
    </w:p>
    <w:p>
      <w:pPr>
        <w:spacing w:after="0" w:line="1" w:lineRule="exact"/>
        <w:rPr>
          <w:sz w:val="20"/>
          <w:szCs w:val="20"/>
          <w:color w:val="auto"/>
        </w:rPr>
      </w:pPr>
    </w:p>
    <w:p>
      <w:pPr>
        <w:ind w:firstLine="8"/>
        <w:spacing w:after="0" w:line="255" w:lineRule="auto"/>
        <w:tabs>
          <w:tab w:leader="none" w:pos="3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type w:val="continuous"/>
        </w:sectPr>
      </w:pPr>
    </w:p>
    <w:bookmarkStart w:id="67" w:name="page68"/>
    <w:bookmarkEnd w:id="67"/>
    <w:p>
      <w:pPr>
        <w:ind w:firstLine="656"/>
        <w:spacing w:after="0" w:line="268" w:lineRule="auto"/>
        <w:tabs>
          <w:tab w:leader="none" w:pos="1533"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The 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American Depositary Receipt is one of an issue of American Depositary Receipts (“ADRs”), all issued</w:t>
      </w:r>
      <w:r>
        <w:rPr>
          <w:rFonts w:ascii="Arial" w:cs="Arial" w:eastAsia="Arial" w:hAnsi="Arial"/>
          <w:sz w:val="17"/>
          <w:szCs w:val="17"/>
          <w:b w:val="1"/>
          <w:bCs w:val="1"/>
          <w:color w:val="auto"/>
        </w:rPr>
        <w:t xml:space="preserve"> </w:t>
      </w:r>
      <w:r>
        <w:rPr>
          <w:rFonts w:ascii="Arial" w:cs="Arial" w:eastAsia="Arial" w:hAnsi="Arial"/>
          <w:sz w:val="17"/>
          <w:szCs w:val="17"/>
          <w:color w:val="auto"/>
        </w:rPr>
        <w:t>and to be issued upon the terms and conditions set forth in the Deposit Agreement, dated as of [●]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of the Company, to which reference is hereby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right="20" w:firstLine="656"/>
        <w:spacing w:after="0" w:line="285" w:lineRule="auto"/>
        <w:tabs>
          <w:tab w:leader="none" w:pos="1533" w:val="left"/>
        </w:tabs>
        <w:numPr>
          <w:ilvl w:val="1"/>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w:t>
      </w:r>
    </w:p>
    <w:p>
      <w:pPr>
        <w:spacing w:after="0" w:line="3" w:lineRule="exact"/>
        <w:rPr>
          <w:rFonts w:ascii="Arial" w:cs="Arial" w:eastAsia="Arial" w:hAnsi="Arial"/>
          <w:sz w:val="16"/>
          <w:szCs w:val="16"/>
          <w:b w:val="1"/>
          <w:bCs w:val="1"/>
          <w:color w:val="auto"/>
        </w:rPr>
      </w:pPr>
    </w:p>
    <w:p>
      <w:pPr>
        <w:ind w:right="120" w:firstLine="8"/>
        <w:spacing w:after="0" w:line="270" w:lineRule="auto"/>
        <w:tabs>
          <w:tab w:leader="none" w:pos="3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Articles of Association and of any applicable laws and the rules of the applicable book-entry settlement entity, and to any provisions of or governing the Deposited Securities, in each case as in effect at the time thereof.</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ind w:right="20"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as promptly as commercially practicable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Depositary shall accept for surrender only a number of ADSs representing a whole number of Shares.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required to be withheld) to the person surrendering the ADSs.</w:t>
      </w:r>
    </w:p>
    <w:p>
      <w:pPr>
        <w:spacing w:after="0" w:line="19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9" w:name="page70"/>
    <w:bookmarkEnd w:id="69"/>
    <w:p>
      <w:pPr>
        <w:ind w:right="60" w:firstLine="656"/>
        <w:spacing w:after="0" w:line="293" w:lineRule="auto"/>
        <w:tabs>
          <w:tab w:leader="none" w:pos="1533"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as promptly as commercially practicable register the transfer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ADR (and of the ADSs represented hereby) on the books maintained for such purpose and the Depositary shall as promptly as commercially practicable</w:t>
      </w:r>
    </w:p>
    <w:p>
      <w:pPr>
        <w:spacing w:after="0" w:line="1" w:lineRule="exact"/>
        <w:rPr>
          <w:rFonts w:ascii="Arial" w:cs="Arial" w:eastAsia="Arial" w:hAnsi="Arial"/>
          <w:sz w:val="16"/>
          <w:szCs w:val="16"/>
          <w:b w:val="1"/>
          <w:bCs w:val="1"/>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cancel this ADR and execute new ADRs evidencing the same aggregate number of ADSs as those evidenced by this ADR canceled by the Depositary,</w:t>
      </w:r>
    </w:p>
    <w:p>
      <w:pPr>
        <w:spacing w:after="0" w:line="32" w:lineRule="exact"/>
        <w:rPr>
          <w:rFonts w:ascii="Arial" w:cs="Arial" w:eastAsia="Arial" w:hAnsi="Arial"/>
          <w:sz w:val="16"/>
          <w:szCs w:val="16"/>
          <w:color w:val="auto"/>
        </w:rPr>
      </w:pPr>
    </w:p>
    <w:p>
      <w:pPr>
        <w:ind w:right="40" w:firstLine="8"/>
        <w:spacing w:after="0" w:line="252"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Deposit Agreement) have been paid, </w:t>
      </w:r>
      <w:r>
        <w:rPr>
          <w:rFonts w:ascii="Arial" w:cs="Arial" w:eastAsia="Arial" w:hAnsi="Arial"/>
          <w:sz w:val="18"/>
          <w:szCs w:val="18"/>
          <w:i w:val="1"/>
          <w:iCs w:val="1"/>
          <w:color w:val="auto"/>
        </w:rPr>
        <w:t xml:space="preserve">subject, however, in each case, </w:t>
      </w:r>
      <w:r>
        <w:rPr>
          <w:rFonts w:ascii="Arial" w:cs="Arial" w:eastAsia="Arial" w:hAnsi="Arial"/>
          <w:sz w:val="18"/>
          <w:szCs w:val="18"/>
          <w:color w:val="auto"/>
        </w:rPr>
        <w:t>to the terms and conditions of this ADR, of the Deposit Agreement and of applicable law, in each case as in effect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thereof.</w:t>
      </w:r>
    </w:p>
    <w:p>
      <w:pPr>
        <w:spacing w:after="0" w:line="19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The Registrar shall as promptly as commercially practicable register the split-up or combination of this ADR (and of the ADSs represented hereby) on the books maintained for such purpose and the Depositary shall as promptly as commercially practicable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w:t>
      </w:r>
      <w:r>
        <w:rPr>
          <w:rFonts w:ascii="Arial" w:cs="Arial" w:eastAsia="Arial" w:hAnsi="Arial"/>
          <w:sz w:val="16"/>
          <w:szCs w:val="16"/>
          <w:color w:val="auto"/>
        </w:rPr>
        <w:t xml:space="preserve"> </w:t>
      </w:r>
      <w:r>
        <w:rPr>
          <w:rFonts w:ascii="Arial" w:cs="Arial" w:eastAsia="Arial" w:hAnsi="Arial"/>
          <w:sz w:val="16"/>
          <w:szCs w:val="16"/>
          <w:i w:val="1"/>
          <w:iCs w:val="1"/>
          <w:color w:val="auto"/>
        </w:rPr>
        <w:t>each case</w:t>
      </w:r>
      <w:r>
        <w:rPr>
          <w:rFonts w:ascii="Arial" w:cs="Arial" w:eastAsia="Arial" w:hAnsi="Arial"/>
          <w:sz w:val="16"/>
          <w:szCs w:val="16"/>
          <w:color w:val="auto"/>
        </w:rPr>
        <w:t>, to the terms and conditions of this ADR, of the Deposit Agreement and of applicable law, in each case as in effect at the time thereof.</w:t>
      </w:r>
    </w:p>
    <w:p>
      <w:pPr>
        <w:spacing w:after="0" w:line="162" w:lineRule="exact"/>
        <w:rPr>
          <w:sz w:val="20"/>
          <w:szCs w:val="20"/>
          <w:color w:val="auto"/>
        </w:rPr>
      </w:pPr>
    </w:p>
    <w:p>
      <w:pPr>
        <w:ind w:right="40" w:firstLine="656"/>
        <w:spacing w:after="0" w:line="271" w:lineRule="auto"/>
        <w:tabs>
          <w:tab w:leader="none" w:pos="1533"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Pre-Conditions to Registration, Transfer, Etc</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precedent to the execution and Delivery, the registration of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ind w:right="60" w:firstLine="648"/>
        <w:spacing w:after="0" w:line="283" w:lineRule="auto"/>
        <w:rPr>
          <w:sz w:val="20"/>
          <w:szCs w:val="20"/>
          <w:color w:val="auto"/>
        </w:rPr>
      </w:pPr>
      <w:r>
        <w:rPr>
          <w:rFonts w:ascii="Arial" w:cs="Arial" w:eastAsia="Arial" w:hAnsi="Arial"/>
          <w:sz w:val="16"/>
          <w:szCs w:val="16"/>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(whereupon the Depositary shall notify the Company)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w:t>
      </w:r>
    </w:p>
    <w:p>
      <w:pPr>
        <w:spacing w:after="0" w:line="6" w:lineRule="exact"/>
        <w:rPr>
          <w:sz w:val="20"/>
          <w:szCs w:val="20"/>
          <w:color w:val="auto"/>
        </w:rPr>
      </w:pPr>
    </w:p>
    <w:p>
      <w:pPr>
        <w:jc w:val="both"/>
        <w:ind w:right="140" w:firstLine="8"/>
        <w:spacing w:after="0" w:line="255"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6" w:lineRule="exact"/>
        <w:rPr>
          <w:rFonts w:ascii="Arial" w:cs="Arial" w:eastAsia="Arial" w:hAnsi="Arial"/>
          <w:sz w:val="18"/>
          <w:szCs w:val="18"/>
          <w:color w:val="auto"/>
        </w:rPr>
      </w:pPr>
    </w:p>
    <w:p>
      <w:pPr>
        <w:ind w:firstLine="656"/>
        <w:spacing w:after="0" w:line="295" w:lineRule="auto"/>
        <w:tabs>
          <w:tab w:leader="none" w:pos="1533"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55" w:lineRule="exact"/>
        <w:rPr>
          <w:rFonts w:ascii="Arial" w:cs="Arial" w:eastAsia="Arial" w:hAnsi="Arial"/>
          <w:sz w:val="16"/>
          <w:szCs w:val="16"/>
          <w:b w:val="1"/>
          <w:bCs w:val="1"/>
          <w:color w:val="auto"/>
        </w:rPr>
      </w:pPr>
    </w:p>
    <w:p>
      <w:pPr>
        <w:ind w:right="20" w:firstLine="656"/>
        <w:spacing w:after="0" w:line="270" w:lineRule="auto"/>
        <w:tabs>
          <w:tab w:leader="none" w:pos="1533"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this ADR or of the Deposit Agreement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restrict transfers of the Shares where such transfer might result in ownership of Shares exceeding limits imposed by applicable law or the Articles of Association.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Nothing herein or in the Deposit Agreement shall be interpreted as obligating the Depositary or the Company to ensure compliance with the ownership restrictions described herein or in Section 3.5 of the Deposit Agreement.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ind w:firstLine="656"/>
        <w:spacing w:after="0" w:line="273" w:lineRule="auto"/>
        <w:tabs>
          <w:tab w:leader="none" w:pos="1533"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rFonts w:ascii="Arial" w:cs="Arial" w:eastAsia="Arial" w:hAnsi="Arial"/>
          <w:sz w:val="17"/>
          <w:szCs w:val="17"/>
          <w:b w:val="1"/>
          <w:bCs w:val="1"/>
          <w:color w:val="auto"/>
        </w:rPr>
      </w:pPr>
    </w:p>
    <w:p>
      <w:pPr>
        <w:ind w:right="20" w:firstLine="656"/>
        <w:spacing w:after="0" w:line="268" w:lineRule="auto"/>
        <w:tabs>
          <w:tab w:leader="none" w:pos="1533"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Notwithstanding anything to the contrary contained in the Deposit Agreement or this ADR, the obligations of Holders and Beneficial Owners under the paragraph (8) and Section 3.2 of the Deposit Agreement shall survive any transfer of ADSs, any cancellation of ADSs and withdrawal of Deposited Securities, and the termination of the Deposit Agreement.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ind w:left="-60" w:firstLine="656"/>
        <w:spacing w:after="0" w:line="290" w:lineRule="auto"/>
        <w:tabs>
          <w:tab w:leader="none" w:pos="147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59" w:lineRule="exact"/>
        <w:rPr>
          <w:rFonts w:ascii="Arial" w:cs="Arial" w:eastAsia="Arial" w:hAnsi="Arial"/>
          <w:sz w:val="16"/>
          <w:szCs w:val="16"/>
          <w:b w:val="1"/>
          <w:bCs w:val="1"/>
          <w:color w:val="auto"/>
        </w:rPr>
      </w:pPr>
    </w:p>
    <w:p>
      <w:pPr>
        <w:ind w:left="-60" w:firstLine="656"/>
        <w:spacing w:after="0" w:line="269" w:lineRule="auto"/>
        <w:tabs>
          <w:tab w:leader="none" w:pos="1383"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Proofs, Certificates and Other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presenting Shares for deposit, any Holder and any Beneficial Owner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request of the Company, to the extent practicable, shall,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w:t>
      </w:r>
    </w:p>
    <w:p>
      <w:pPr>
        <w:spacing w:after="0" w:line="176" w:lineRule="exact"/>
        <w:rPr>
          <w:rFonts w:ascii="Arial" w:cs="Arial" w:eastAsia="Arial" w:hAnsi="Arial"/>
          <w:sz w:val="17"/>
          <w:szCs w:val="17"/>
          <w:b w:val="1"/>
          <w:bCs w:val="1"/>
          <w:color w:val="auto"/>
        </w:rPr>
      </w:pPr>
    </w:p>
    <w:p>
      <w:pPr>
        <w:ind w:left="1380" w:hanging="784"/>
        <w:spacing w:after="0"/>
        <w:tabs>
          <w:tab w:leader="none" w:pos="13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229" w:lineRule="exact"/>
        <w:rPr>
          <w:rFonts w:ascii="Arial" w:cs="Arial" w:eastAsia="Arial" w:hAnsi="Arial"/>
          <w:sz w:val="18"/>
          <w:szCs w:val="18"/>
          <w:b w:val="1"/>
          <w:bCs w:val="1"/>
          <w:color w:val="auto"/>
        </w:rPr>
      </w:pPr>
    </w:p>
    <w:p>
      <w:pPr>
        <w:ind w:left="1900" w:right="340" w:hanging="655"/>
        <w:spacing w:after="0" w:line="312" w:lineRule="auto"/>
        <w:tabs>
          <w:tab w:leader="none" w:pos="1900" w:val="left"/>
        </w:tabs>
        <w:numPr>
          <w:ilvl w:val="1"/>
          <w:numId w:val="38"/>
        </w:numPr>
        <w:rPr>
          <w:rFonts w:ascii="Arial" w:cs="Arial" w:eastAsia="Arial" w:hAnsi="Arial"/>
          <w:sz w:val="16"/>
          <w:szCs w:val="16"/>
          <w:b w:val="1"/>
          <w:bCs w:val="1"/>
          <w:color w:val="auto"/>
        </w:rPr>
      </w:pPr>
      <w:r>
        <w:rPr>
          <w:rFonts w:ascii="Arial" w:cs="Arial" w:eastAsia="Arial" w:hAnsi="Arial"/>
          <w:sz w:val="16"/>
          <w:szCs w:val="16"/>
          <w:u w:val="single" w:color="auto"/>
          <w:color w:val="auto"/>
        </w:rPr>
        <w:t>ADS Issuance Fee</w:t>
      </w:r>
      <w:r>
        <w:rPr>
          <w:rFonts w:ascii="Arial" w:cs="Arial" w:eastAsia="Arial" w:hAnsi="Arial"/>
          <w:sz w:val="16"/>
          <w:szCs w:val="16"/>
          <w:color w:val="auto"/>
        </w:rPr>
        <w:t>: by any person for whom ADSs are issued (</w:t>
      </w:r>
      <w:r>
        <w:rPr>
          <w:rFonts w:ascii="Arial" w:cs="Arial" w:eastAsia="Arial" w:hAnsi="Arial"/>
          <w:sz w:val="16"/>
          <w:szCs w:val="16"/>
          <w:i w:val="1"/>
          <w:iCs w:val="1"/>
          <w:color w:val="auto"/>
        </w:rPr>
        <w:t>e.g.</w:t>
      </w:r>
      <w:r>
        <w:rPr>
          <w:rFonts w:ascii="Arial" w:cs="Arial" w:eastAsia="Arial" w:hAnsi="Arial"/>
          <w:sz w:val="16"/>
          <w:szCs w:val="16"/>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37" w:right="279" w:bottom="1440" w:gutter="0" w:footer="0" w:header="0"/>
        </w:sectPr>
      </w:pPr>
    </w:p>
    <w:bookmarkStart w:id="73" w:name="page74"/>
    <w:bookmarkEnd w:id="73"/>
    <w:p>
      <w:pPr>
        <w:jc w:val="both"/>
        <w:ind w:left="760" w:hanging="655"/>
        <w:spacing w:after="0" w:line="264" w:lineRule="auto"/>
        <w:tabs>
          <w:tab w:leader="none" w:pos="7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81" w:lineRule="exact"/>
        <w:rPr>
          <w:rFonts w:ascii="Arial" w:cs="Arial" w:eastAsia="Arial" w:hAnsi="Arial"/>
          <w:sz w:val="18"/>
          <w:szCs w:val="18"/>
          <w:b w:val="1"/>
          <w:bCs w:val="1"/>
          <w:color w:val="auto"/>
        </w:rPr>
      </w:pPr>
    </w:p>
    <w:p>
      <w:pPr>
        <w:ind w:left="760" w:right="220" w:hanging="655"/>
        <w:spacing w:after="0" w:line="308" w:lineRule="auto"/>
        <w:tabs>
          <w:tab w:leader="none" w:pos="760" w:val="left"/>
        </w:tabs>
        <w:numPr>
          <w:ilvl w:val="0"/>
          <w:numId w:val="39"/>
        </w:numPr>
        <w:rPr>
          <w:rFonts w:ascii="Arial" w:cs="Arial" w:eastAsia="Arial" w:hAnsi="Arial"/>
          <w:sz w:val="17"/>
          <w:szCs w:val="17"/>
          <w:b w:val="1"/>
          <w:bCs w:val="1"/>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146" w:lineRule="exact"/>
        <w:rPr>
          <w:rFonts w:ascii="Arial" w:cs="Arial" w:eastAsia="Arial" w:hAnsi="Arial"/>
          <w:sz w:val="17"/>
          <w:szCs w:val="17"/>
          <w:b w:val="1"/>
          <w:bCs w:val="1"/>
          <w:color w:val="auto"/>
        </w:rPr>
      </w:pPr>
    </w:p>
    <w:p>
      <w:pPr>
        <w:jc w:val="both"/>
        <w:ind w:left="760" w:right="300" w:hanging="655"/>
        <w:spacing w:after="0" w:line="264" w:lineRule="auto"/>
        <w:tabs>
          <w:tab w:leader="none" w:pos="7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81" w:lineRule="exact"/>
        <w:rPr>
          <w:rFonts w:ascii="Arial" w:cs="Arial" w:eastAsia="Arial" w:hAnsi="Arial"/>
          <w:sz w:val="18"/>
          <w:szCs w:val="18"/>
          <w:b w:val="1"/>
          <w:bCs w:val="1"/>
          <w:color w:val="auto"/>
        </w:rPr>
      </w:pPr>
    </w:p>
    <w:p>
      <w:pPr>
        <w:ind w:left="760" w:right="40" w:hanging="655"/>
        <w:spacing w:after="0" w:line="277" w:lineRule="auto"/>
        <w:tabs>
          <w:tab w:leader="none" w:pos="7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w:t>
      </w:r>
    </w:p>
    <w:p>
      <w:pPr>
        <w:spacing w:after="0" w:line="170" w:lineRule="exact"/>
        <w:rPr>
          <w:rFonts w:ascii="Arial" w:cs="Arial" w:eastAsia="Arial" w:hAnsi="Arial"/>
          <w:sz w:val="18"/>
          <w:szCs w:val="18"/>
          <w:b w:val="1"/>
          <w:bCs w:val="1"/>
          <w:color w:val="auto"/>
        </w:rPr>
      </w:pPr>
    </w:p>
    <w:p>
      <w:pPr>
        <w:ind w:left="760" w:right="220" w:hanging="655"/>
        <w:spacing w:after="0" w:line="277" w:lineRule="auto"/>
        <w:tabs>
          <w:tab w:leader="none" w:pos="7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b w:val="1"/>
          <w:bCs w:val="1"/>
          <w:color w:val="auto"/>
        </w:rPr>
      </w:pPr>
    </w:p>
    <w:p>
      <w:pPr>
        <w:ind w:left="760" w:right="60" w:hanging="655"/>
        <w:spacing w:after="0" w:line="286" w:lineRule="auto"/>
        <w:tabs>
          <w:tab w:leader="none" w:pos="760" w:val="left"/>
        </w:tabs>
        <w:numPr>
          <w:ilvl w:val="0"/>
          <w:numId w:val="39"/>
        </w:numPr>
        <w:rPr>
          <w:rFonts w:ascii="Arial" w:cs="Arial" w:eastAsia="Arial" w:hAnsi="Arial"/>
          <w:sz w:val="17"/>
          <w:szCs w:val="17"/>
          <w:b w:val="1"/>
          <w:bCs w:val="1"/>
          <w:color w:val="auto"/>
        </w:rPr>
      </w:pPr>
      <w:r>
        <w:rPr>
          <w:rFonts w:ascii="Arial" w:cs="Arial" w:eastAsia="Arial" w:hAnsi="Arial"/>
          <w:sz w:val="17"/>
          <w:szCs w:val="17"/>
          <w:u w:val="single" w:color="auto"/>
          <w:color w:val="auto"/>
        </w:rPr>
        <w:t>Registration of ADS Transfer Fee</w:t>
      </w:r>
      <w:r>
        <w:rPr>
          <w:rFonts w:ascii="Arial" w:cs="Arial" w:eastAsia="Arial" w:hAnsi="Arial"/>
          <w:sz w:val="17"/>
          <w:szCs w:val="17"/>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Arial" w:cs="Arial" w:eastAsia="Arial" w:hAnsi="Arial"/>
          <w:sz w:val="17"/>
          <w:szCs w:val="17"/>
          <w:i w:val="1"/>
          <w:iCs w:val="1"/>
          <w:color w:val="auto"/>
        </w:rPr>
        <w:t>vice versa</w:t>
      </w:r>
      <w:r>
        <w:rPr>
          <w:rFonts w:ascii="Arial" w:cs="Arial" w:eastAsia="Arial" w:hAnsi="Arial"/>
          <w:sz w:val="17"/>
          <w:szCs w:val="17"/>
          <w:color w:val="auto"/>
        </w:rPr>
        <w:t>, or for any other reason); and</w:t>
      </w:r>
    </w:p>
    <w:p>
      <w:pPr>
        <w:spacing w:after="0" w:line="165" w:lineRule="exact"/>
        <w:rPr>
          <w:rFonts w:ascii="Arial" w:cs="Arial" w:eastAsia="Arial" w:hAnsi="Arial"/>
          <w:sz w:val="17"/>
          <w:szCs w:val="17"/>
          <w:b w:val="1"/>
          <w:bCs w:val="1"/>
          <w:color w:val="auto"/>
        </w:rPr>
      </w:pPr>
    </w:p>
    <w:p>
      <w:pPr>
        <w:ind w:left="760" w:right="200" w:hanging="655"/>
        <w:spacing w:after="0" w:line="259" w:lineRule="auto"/>
        <w:tabs>
          <w:tab w:leader="none" w:pos="7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28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80"/>
          </w:cols>
          <w:pgMar w:left="1440" w:top="341" w:right="279" w:bottom="1440" w:gutter="0" w:footer="0" w:header="0"/>
        </w:sectPr>
      </w:pPr>
    </w:p>
    <w:bookmarkStart w:id="74" w:name="page75"/>
    <w:bookmarkEnd w:id="74"/>
    <w:p>
      <w:pPr>
        <w:ind w:right="160" w:firstLine="648"/>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1" w:lineRule="exact"/>
        <w:rPr>
          <w:sz w:val="20"/>
          <w:szCs w:val="20"/>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1960" w:right="20" w:hanging="655"/>
        <w:spacing w:after="0" w:line="342" w:lineRule="auto"/>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23" w:lineRule="exact"/>
        <w:rPr>
          <w:rFonts w:ascii="Arial" w:cs="Arial" w:eastAsia="Arial" w:hAnsi="Arial"/>
          <w:sz w:val="16"/>
          <w:szCs w:val="16"/>
          <w:color w:val="auto"/>
        </w:rPr>
      </w:pPr>
    </w:p>
    <w:p>
      <w:pPr>
        <w:ind w:left="1960" w:hanging="655"/>
        <w:spacing w:after="0" w:line="264"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1" w:lineRule="exact"/>
        <w:rPr>
          <w:rFonts w:ascii="Arial" w:cs="Arial" w:eastAsia="Arial" w:hAnsi="Arial"/>
          <w:sz w:val="18"/>
          <w:szCs w:val="18"/>
          <w:color w:val="auto"/>
        </w:rPr>
      </w:pPr>
    </w:p>
    <w:p>
      <w:pPr>
        <w:ind w:left="1960" w:right="100" w:hanging="655"/>
        <w:spacing w:after="0" w:line="277"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70" w:lineRule="exact"/>
        <w:rPr>
          <w:rFonts w:ascii="Arial" w:cs="Arial" w:eastAsia="Arial" w:hAnsi="Arial"/>
          <w:sz w:val="18"/>
          <w:szCs w:val="18"/>
          <w:color w:val="auto"/>
        </w:rPr>
      </w:pPr>
    </w:p>
    <w:p>
      <w:pPr>
        <w:ind w:left="1960" w:right="460" w:hanging="655"/>
        <w:spacing w:after="0" w:line="277"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All ADS fees and charges may be deducted from distributions or must be remitted to the Depositary, or its designee, and may, at any time and from time to time, be changed by agreement between the Depositary and Company but, in the case of ADS fees and charges payable by Holders and Beneficial Owners, any such change (excluding any changes to the waiver by the Depositary of fees and charges contemplated in the Deposit Agreement) may be made only in the manner contemplated by paragraph (23) of this ADR and as contemplated in Section 6.1 of the Deposit Agreement. The Depositary shall provide, without charge, a copy of its latest ADS fee schedule to anyone upon request.</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5" w:name="page76"/>
    <w:bookmarkEnd w:id="75"/>
    <w:p>
      <w:pPr>
        <w:ind w:right="8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2" w:lineRule="exact"/>
        <w:rPr>
          <w:sz w:val="20"/>
          <w:szCs w:val="20"/>
          <w:color w:val="auto"/>
        </w:rPr>
      </w:pPr>
    </w:p>
    <w:p>
      <w:pPr>
        <w:ind w:firstLine="656"/>
        <w:spacing w:after="0" w:line="271" w:lineRule="auto"/>
        <w:tabs>
          <w:tab w:leader="none" w:pos="1443"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ind w:firstLine="656"/>
        <w:spacing w:after="0" w:line="255" w:lineRule="auto"/>
        <w:tabs>
          <w:tab w:leader="none" w:pos="144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 of ADR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this ADR (and the ADSs represented hereby) shall not be entitled to any benefits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9" w:lineRule="exact"/>
        <w:rPr>
          <w:rFonts w:ascii="Arial" w:cs="Arial" w:eastAsia="Arial" w:hAnsi="Arial"/>
          <w:sz w:val="18"/>
          <w:szCs w:val="18"/>
          <w:b w:val="1"/>
          <w:bCs w:val="1"/>
          <w:color w:val="auto"/>
        </w:rPr>
      </w:pPr>
    </w:p>
    <w:p>
      <w:pPr>
        <w:ind w:left="1460" w:hanging="804"/>
        <w:spacing w:after="0"/>
        <w:tabs>
          <w:tab w:leader="none" w:pos="1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is subject to the periodic reporting requirements of the Exchange Act and, accordingly, is required to file or furnish certain reports with the Commission. These reports can be retrieved from the Commission's website (</w:t>
      </w:r>
      <w:r>
        <w:rPr>
          <w:rFonts w:ascii="Arial" w:cs="Arial" w:eastAsia="Arial" w:hAnsi="Arial"/>
          <w:sz w:val="18"/>
          <w:szCs w:val="18"/>
          <w:u w:val="single" w:color="auto"/>
          <w:color w:val="auto"/>
        </w:rPr>
        <w:t>www.sec.gov</w:t>
      </w:r>
      <w:r>
        <w:rPr>
          <w:rFonts w:ascii="Arial" w:cs="Arial" w:eastAsia="Arial" w:hAnsi="Arial"/>
          <w:sz w:val="18"/>
          <w:szCs w:val="18"/>
          <w:color w:val="auto"/>
        </w:rPr>
        <w:t>) and can be inspected and copied at the public reference facilities maintained by the Commission located (as of the date of the Deposit Agreement) at 100 F Street, N.E., Washington D.C. 20549. The Depositary shall make available for inspection by Holders at its Principal Office, as promptly as commercially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the Holders copies of such reports when furnished by the Company pursuant to Section 5.6 of the Deposit Agreement.</w:t>
      </w:r>
    </w:p>
    <w:p>
      <w:pPr>
        <w:spacing w:after="0" w:line="19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0219"/>
          </w:cols>
          <w:pgMar w:left="240" w:top="341"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5000" w:space="720"/>
            <w:col w:w="4499"/>
          </w:cols>
          <w:pgMar w:left="240" w:top="34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5000" w:space="720"/>
            <w:col w:w="4499"/>
          </w:cols>
          <w:pgMar w:left="240" w:top="341" w:right="1440" w:bottom="1440" w:gutter="0" w:footer="0" w:header="0"/>
          <w:type w:val="continuous"/>
        </w:sectPr>
      </w:pPr>
    </w:p>
    <w:p>
      <w:pPr>
        <w:spacing w:after="0" w:line="11" w:lineRule="exact"/>
        <w:rPr>
          <w:sz w:val="20"/>
          <w:szCs w:val="20"/>
          <w:color w:val="auto"/>
        </w:rPr>
      </w:pPr>
    </w:p>
    <w:p>
      <w:pPr>
        <w:jc w:val="right"/>
        <w:ind w:right="19"/>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21" w:lineRule="exact"/>
        <w:rPr>
          <w:sz w:val="20"/>
          <w:szCs w:val="20"/>
          <w:color w:val="auto"/>
        </w:rPr>
      </w:pPr>
    </w:p>
    <w:p>
      <w:pPr>
        <w:ind w:left="-40" w:firstLine="656"/>
        <w:spacing w:after="0" w:line="284" w:lineRule="auto"/>
        <w:tabs>
          <w:tab w:leader="none" w:pos="140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that it intends to make a distribution of a cash dividend or other cash distribution,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of Section 4.8 of the Deposit Agreement), (ii) if applicable and unless previously established, establish the ADS Record Date upon the terms described in Section 4.9 of the Deposit Agreement, and (iii) distribute promptly the amount thus received from such conversion (net of (a) the applicable fees and charges described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79" w:name="page80"/>
    <w:bookmarkEnd w:id="79"/>
    <w:p>
      <w:pPr>
        <w:ind w:firstLine="656"/>
        <w:spacing w:after="0" w:line="269" w:lineRule="auto"/>
        <w:tabs>
          <w:tab w:leader="none" w:pos="903"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Share Distributions</w:t>
      </w:r>
      <w:r>
        <w:rPr>
          <w:rFonts w:ascii="Arial" w:cs="Arial" w:eastAsia="Arial" w:hAnsi="Arial"/>
          <w:sz w:val="17"/>
          <w:szCs w:val="17"/>
          <w:color w:val="auto"/>
        </w:rPr>
        <w:t>: Upon the timely receipt by the Depositary of a notice from the Company that it intends to make a distribution that consists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3"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ind w:left="-8" w:right="20" w:firstLine="656"/>
        <w:spacing w:after="0" w:line="283" w:lineRule="auto"/>
        <w:tabs>
          <w:tab w:leader="none" w:pos="885" w:val="left"/>
        </w:tabs>
        <w:numPr>
          <w:ilvl w:val="1"/>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Elective Distributions in Cash or Shares</w:t>
      </w:r>
      <w:r>
        <w:rPr>
          <w:rFonts w:ascii="Arial" w:cs="Arial" w:eastAsia="Arial" w:hAnsi="Arial"/>
          <w:sz w:val="16"/>
          <w:szCs w:val="16"/>
          <w:color w:val="auto"/>
        </w:rPr>
        <w:t>: Upon the timely receipt of a notice indicating that the Company wishes an elective distribution in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(17) and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upon the terms described in Section 4.1 of the Deposit Agreement or</w:t>
      </w:r>
    </w:p>
    <w:p>
      <w:pPr>
        <w:spacing w:after="0" w:line="3" w:lineRule="exact"/>
        <w:rPr>
          <w:rFonts w:ascii="Arial" w:cs="Arial" w:eastAsia="Arial" w:hAnsi="Arial"/>
          <w:sz w:val="16"/>
          <w:szCs w:val="16"/>
          <w:color w:val="auto"/>
        </w:rPr>
      </w:pPr>
    </w:p>
    <w:p>
      <w:pPr>
        <w:ind w:left="-8" w:firstLine="8"/>
        <w:spacing w:after="0" w:line="268" w:lineRule="auto"/>
        <w:tabs>
          <w:tab w:leader="none" w:pos="247"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additional ADSs representing such additional Shares, in each case,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4" w:lineRule="exact"/>
        <w:rPr>
          <w:rFonts w:ascii="Arial" w:cs="Arial" w:eastAsia="Arial" w:hAnsi="Arial"/>
          <w:sz w:val="17"/>
          <w:szCs w:val="17"/>
          <w:color w:val="auto"/>
        </w:rPr>
      </w:pPr>
    </w:p>
    <w:p>
      <w:pPr>
        <w:ind w:left="-8" w:right="20" w:firstLine="656"/>
        <w:spacing w:after="0" w:line="282" w:lineRule="auto"/>
        <w:tabs>
          <w:tab w:leader="none" w:pos="895"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 wishes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w:t>
      </w:r>
    </w:p>
    <w:p>
      <w:pPr>
        <w:spacing w:after="0" w:line="12" w:lineRule="exact"/>
        <w:rPr>
          <w:rFonts w:ascii="Arial" w:cs="Arial" w:eastAsia="Arial" w:hAnsi="Arial"/>
          <w:sz w:val="16"/>
          <w:szCs w:val="16"/>
          <w:color w:val="auto"/>
        </w:rPr>
      </w:pPr>
    </w:p>
    <w:p>
      <w:pPr>
        <w:ind w:left="-8" w:right="160" w:firstLine="8"/>
        <w:spacing w:after="0" w:line="261" w:lineRule="auto"/>
        <w:tabs>
          <w:tab w:leader="none" w:pos="25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foreign exchange exposure or loss incurred in connection with such sale or exercise, or (iii) the content of any materials forwarded to the Holders on behalf of the Company in connection with the rights distribution.</w:t>
      </w:r>
    </w:p>
    <w:p>
      <w:pPr>
        <w:spacing w:after="0" w:line="28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81" w:name="page82"/>
    <w:bookmarkEnd w:id="81"/>
    <w:p>
      <w:pPr>
        <w:ind w:firstLine="648"/>
        <w:spacing w:after="0" w:line="268" w:lineRule="auto"/>
        <w:rPr>
          <w:sz w:val="20"/>
          <w:szCs w:val="20"/>
          <w:color w:val="auto"/>
        </w:rPr>
      </w:pPr>
      <w:r>
        <w:rPr>
          <w:rFonts w:ascii="Arial" w:cs="Arial" w:eastAsia="Arial" w:hAnsi="Arial"/>
          <w:sz w:val="17"/>
          <w:szCs w:val="17"/>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2" w:name="page83"/>
    <w:bookmarkEnd w:id="82"/>
    <w:p>
      <w:pPr>
        <w:ind w:right="4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66" w:lineRule="exact"/>
        <w:rPr>
          <w:sz w:val="20"/>
          <w:szCs w:val="20"/>
          <w:color w:val="auto"/>
        </w:rPr>
      </w:pPr>
    </w:p>
    <w:p>
      <w:pPr>
        <w:ind w:right="60" w:firstLine="656"/>
        <w:spacing w:after="0" w:line="288" w:lineRule="auto"/>
        <w:tabs>
          <w:tab w:leader="none" w:pos="893"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 other than Cash, Shares or Rights to Purchase Shares</w:t>
      </w:r>
      <w:r>
        <w:rPr>
          <w:rFonts w:ascii="Arial" w:cs="Arial" w:eastAsia="Arial" w:hAnsi="Arial"/>
          <w:sz w:val="16"/>
          <w:szCs w:val="16"/>
          <w:color w:val="auto"/>
        </w:rPr>
        <w:t>: Upon receipt of a notice indicating that the Company wishes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7" w:lineRule="exact"/>
        <w:rPr>
          <w:sz w:val="20"/>
          <w:szCs w:val="20"/>
          <w:color w:val="auto"/>
        </w:rPr>
      </w:pPr>
    </w:p>
    <w:p>
      <w:pPr>
        <w:ind w:firstLine="656"/>
        <w:spacing w:after="0" w:line="269" w:lineRule="auto"/>
        <w:tabs>
          <w:tab w:leader="none" w:pos="1443"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Upon timely receipt of notice from the Company that it intends to exercise its right of redemption in respect of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Deposited Securities, and satisfactory documentation, and only if the Depositary shall have reasonably determined that such proposed redemption is practicable, the Depositary shall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3" w:name="page84"/>
    <w:bookmarkEnd w:id="83"/>
    <w:p>
      <w:pPr>
        <w:ind w:right="4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above,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84" w:lineRule="exact"/>
        <w:rPr>
          <w:sz w:val="20"/>
          <w:szCs w:val="20"/>
          <w:color w:val="auto"/>
        </w:rPr>
      </w:pPr>
    </w:p>
    <w:p>
      <w:pPr>
        <w:ind w:firstLine="656"/>
        <w:spacing w:after="0" w:line="270" w:lineRule="auto"/>
        <w:tabs>
          <w:tab w:leader="none" w:pos="1443"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(a) the Depositary shall receive notice of the fixing of a record date by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7"/>
          <w:szCs w:val="17"/>
          <w:u w:val="single" w:color="auto"/>
          <w:color w:val="auto"/>
        </w:rPr>
        <w:t>ADS Record Date</w:t>
      </w:r>
      <w:r>
        <w:rPr>
          <w:rFonts w:ascii="Arial" w:cs="Arial" w:eastAsia="Arial" w:hAnsi="Arial"/>
          <w:sz w:val="17"/>
          <w:szCs w:val="17"/>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77" w:lineRule="exact"/>
        <w:rPr>
          <w:rFonts w:ascii="Arial" w:cs="Arial" w:eastAsia="Arial" w:hAnsi="Arial"/>
          <w:sz w:val="17"/>
          <w:szCs w:val="17"/>
          <w:b w:val="1"/>
          <w:bCs w:val="1"/>
          <w:color w:val="auto"/>
        </w:rPr>
      </w:pPr>
    </w:p>
    <w:p>
      <w:pPr>
        <w:ind w:right="20" w:firstLine="656"/>
        <w:spacing w:after="0" w:line="286" w:lineRule="auto"/>
        <w:tabs>
          <w:tab w:leader="none" w:pos="144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after the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 Notwithstanding anything contained in the Deposit Agreement to the contrary, in the event the Company fails to timely request that the Depositary distribute the information as provided for in Section 4.10 of the Deposit Agreement, the Depositary agrees to use commercially reasonable efforts to perform the actions contemplated in Section 4.10 of the Deposit Agreement, and the Company, the Holders and the Beneficial Owners acknowledge that the Depositary shall have no liability for the Depositary’s failure to perform the actions contemplated in Section 4.10 of the Deposit Agreement where such notice has not been so timely given, other than its failure to use commercially reasonable efforts, as provided in the Deposit Agreement.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ind w:right="6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or this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8"/>
          <w:szCs w:val="18"/>
          <w:i w:val="1"/>
          <w:iCs w:val="1"/>
          <w:color w:val="auto"/>
        </w:rPr>
        <w:t>e.g.</w:t>
      </w:r>
      <w:r>
        <w:rPr>
          <w:rFonts w:ascii="Arial" w:cs="Arial" w:eastAsia="Arial" w:hAnsi="Arial"/>
          <w:sz w:val="18"/>
          <w:szCs w:val="18"/>
          <w:color w:val="auto"/>
        </w:rPr>
        <w:t>, by reference to a website containing the materials for retrieval or a contact for requesting copies of the materials).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Depositary has been advised by the Company that under the Articles of Association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as in effect on the date of the Deposit Agreement, a poll may be demanded by (a) the chairman of such meeting or (b) any shareholder(s) present in person or by proxy and representing not less than 5% of the total voting rights of all the shareholders having the right to vote on the resolution (excluding any shares held in treasury).</w:t>
      </w:r>
    </w:p>
    <w:p>
      <w:pPr>
        <w:spacing w:after="0" w:line="15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w:t>
      </w:r>
    </w:p>
    <w:p>
      <w:pPr>
        <w:spacing w:after="0" w:line="2" w:lineRule="exact"/>
        <w:rPr>
          <w:sz w:val="20"/>
          <w:szCs w:val="20"/>
          <w:color w:val="auto"/>
        </w:rPr>
      </w:pPr>
    </w:p>
    <w:p>
      <w:pPr>
        <w:ind w:right="20" w:firstLine="8"/>
        <w:spacing w:after="0" w:line="268" w:lineRule="auto"/>
        <w:tabs>
          <w:tab w:leader="none" w:pos="24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the Depositary will instruct the Custodian to vote all Deposited Securities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the voting instructions received timely from a majority of Holders of ADSs who provided voting instructions, and (b) </w:t>
      </w:r>
      <w:r>
        <w:rPr>
          <w:rFonts w:ascii="Arial" w:cs="Arial" w:eastAsia="Arial" w:hAnsi="Arial"/>
          <w:sz w:val="17"/>
          <w:szCs w:val="17"/>
          <w:i w:val="1"/>
          <w:iCs w:val="1"/>
          <w:color w:val="auto"/>
        </w:rPr>
        <w:t>in the event voting</w:t>
      </w:r>
      <w:r>
        <w:rPr>
          <w:rFonts w:ascii="Arial" w:cs="Arial" w:eastAsia="Arial" w:hAnsi="Arial"/>
          <w:sz w:val="17"/>
          <w:szCs w:val="17"/>
          <w:color w:val="auto"/>
        </w:rPr>
        <w:t xml:space="preserve"> </w:t>
      </w:r>
      <w:r>
        <w:rPr>
          <w:rFonts w:ascii="Arial" w:cs="Arial" w:eastAsia="Arial" w:hAnsi="Arial"/>
          <w:sz w:val="17"/>
          <w:szCs w:val="17"/>
          <w:i w:val="1"/>
          <w:iCs w:val="1"/>
          <w:color w:val="auto"/>
        </w:rPr>
        <w:t>takes place at a shareholders’ meeting by poll</w:t>
      </w:r>
      <w:r>
        <w:rPr>
          <w:rFonts w:ascii="Arial" w:cs="Arial" w:eastAsia="Arial" w:hAnsi="Arial"/>
          <w:sz w:val="17"/>
          <w:szCs w:val="17"/>
          <w:color w:val="auto"/>
        </w:rPr>
        <w:t>, the Depositary will instruct the Custodian to vote the Deposited Securities in accordance with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received timely from the Holders of ADSs. If voting is by poll and the Depositary does not receive voting instructions from a Holder as of the ADS Record Date on or before the date established by the Depositary for such purpose, such Holder shall be deemed, and the Depositary shall (unless otherwise specified in the notice distributed to Holders)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ind w:right="20" w:firstLine="648"/>
        <w:spacing w:after="0" w:line="270"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timely voting instructions received from a majority of Holders of ADSs who provided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required by Cayman Islands law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right="22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or otherwise take action, in a timely manner.</w:t>
      </w:r>
    </w:p>
    <w:p>
      <w:pPr>
        <w:spacing w:after="0" w:line="166" w:lineRule="exact"/>
        <w:rPr>
          <w:sz w:val="20"/>
          <w:szCs w:val="20"/>
          <w:color w:val="auto"/>
        </w:rPr>
      </w:pPr>
    </w:p>
    <w:p>
      <w:pPr>
        <w:ind w:right="40" w:firstLine="656"/>
        <w:spacing w:after="0" w:line="284" w:lineRule="auto"/>
        <w:tabs>
          <w:tab w:leader="none" w:pos="1443"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rFonts w:ascii="Arial" w:cs="Arial" w:eastAsia="Arial" w:hAnsi="Arial"/>
          <w:sz w:val="16"/>
          <w:szCs w:val="16"/>
          <w:b w:val="1"/>
          <w:bCs w:val="1"/>
          <w:color w:val="auto"/>
        </w:rPr>
      </w:pPr>
    </w:p>
    <w:p>
      <w:pPr>
        <w:ind w:right="140" w:firstLine="8"/>
        <w:spacing w:after="0" w:line="281" w:lineRule="auto"/>
        <w:tabs>
          <w:tab w:leader="none" w:pos="2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w:t>
      </w:r>
    </w:p>
    <w:p>
      <w:pPr>
        <w:spacing w:after="0" w:line="4" w:lineRule="exact"/>
        <w:rPr>
          <w:rFonts w:ascii="Arial" w:cs="Arial" w:eastAsia="Arial" w:hAnsi="Arial"/>
          <w:sz w:val="16"/>
          <w:szCs w:val="16"/>
          <w:color w:val="auto"/>
        </w:rPr>
      </w:pPr>
    </w:p>
    <w:p>
      <w:pPr>
        <w:ind w:firstLine="8"/>
        <w:spacing w:after="0" w:line="292" w:lineRule="auto"/>
        <w:tabs>
          <w:tab w:leader="none" w:pos="2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7" w:name="page88"/>
    <w:bookmarkEnd w:id="87"/>
    <w:p>
      <w:pPr>
        <w:ind w:firstLine="656"/>
        <w:spacing w:after="0" w:line="268" w:lineRule="auto"/>
        <w:tabs>
          <w:tab w:leader="none" w:pos="1443"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this ADR, neither the Depositary nor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obligated to do or perform any act which is inconsistent with the provisions of the Deposit Agreement or incur any liability (to the extent not limited by paragraph (25) hereof and Section 7.8(b) of the Deposit Agreement) (i) if the Depositary, the Custodian, the Company or their respective agents shall be prevented or forbidden from,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176" w:lineRule="exact"/>
        <w:rPr>
          <w:rFonts w:ascii="Arial" w:cs="Arial" w:eastAsia="Arial" w:hAnsi="Arial"/>
          <w:sz w:val="17"/>
          <w:szCs w:val="17"/>
          <w:b w:val="1"/>
          <w:bCs w:val="1"/>
          <w:color w:val="auto"/>
        </w:rPr>
      </w:pPr>
    </w:p>
    <w:p>
      <w:pPr>
        <w:ind w:right="60" w:firstLine="656"/>
        <w:spacing w:after="0" w:line="292" w:lineRule="auto"/>
        <w:tabs>
          <w:tab w:leader="none" w:pos="144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8" w:name="page89"/>
    <w:bookmarkEnd w:id="88"/>
    <w:p>
      <w:pPr>
        <w:ind w:right="40"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firstLine="656"/>
        <w:spacing w:after="0" w:line="285" w:lineRule="auto"/>
        <w:tabs>
          <w:tab w:leader="none" w:pos="1443"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left="-20" w:firstLine="656"/>
        <w:spacing w:after="0" w:line="285" w:lineRule="auto"/>
        <w:tabs>
          <w:tab w:leader="none" w:pos="1423"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90" w:name="page91"/>
    <w:bookmarkEnd w:id="90"/>
    <w:p>
      <w:pPr>
        <w:ind w:left="-20" w:firstLine="656"/>
        <w:spacing w:after="0" w:line="284" w:lineRule="auto"/>
        <w:tabs>
          <w:tab w:leader="none" w:pos="1423"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91" w:name="page92"/>
    <w:bookmarkEnd w:id="91"/>
    <w:p>
      <w:pPr>
        <w:ind w:right="2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ind w:right="180" w:firstLine="656"/>
        <w:spacing w:after="0" w:line="314" w:lineRule="auto"/>
        <w:tabs>
          <w:tab w:leader="none" w:pos="1443"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(a) Notwithstanding any provisions in this ADR 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46" w:lineRule="exact"/>
        <w:rPr>
          <w:sz w:val="20"/>
          <w:szCs w:val="20"/>
          <w:color w:val="auto"/>
        </w:rPr>
      </w:pPr>
    </w:p>
    <w:p>
      <w:pPr>
        <w:ind w:right="220" w:firstLine="656"/>
        <w:spacing w:after="0" w:line="264" w:lineRule="auto"/>
        <w:tabs>
          <w:tab w:leader="none" w:pos="11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7" w:lineRule="exact"/>
        <w:rPr>
          <w:sz w:val="20"/>
          <w:szCs w:val="20"/>
          <w:color w:val="auto"/>
        </w:rPr>
      </w:pPr>
    </w:p>
    <w:p>
      <w:pPr>
        <w:ind w:firstLine="656"/>
        <w:spacing w:after="0" w:line="268" w:lineRule="auto"/>
        <w:tabs>
          <w:tab w:leader="none" w:pos="1443"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Third Party Beneficiaries/Acknowledgements</w:t>
      </w:r>
      <w:r>
        <w:rPr>
          <w:rFonts w:ascii="Arial" w:cs="Arial" w:eastAsia="Arial" w:hAnsi="Arial"/>
          <w:sz w:val="17"/>
          <w:szCs w:val="17"/>
          <w:color w:val="auto"/>
        </w:rPr>
        <w:t>. The Deposit Agreement is for the exclusive benefit of the parties hereto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ind w:right="200" w:firstLine="656"/>
        <w:spacing w:after="0" w:line="256" w:lineRule="auto"/>
        <w:tabs>
          <w:tab w:leader="none" w:pos="1443"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 Waiver of Jury Trial</w:t>
      </w:r>
      <w:r>
        <w:rPr>
          <w:rFonts w:ascii="Arial" w:cs="Arial" w:eastAsia="Arial" w:hAnsi="Arial"/>
          <w:sz w:val="18"/>
          <w:szCs w:val="18"/>
          <w:color w:val="auto"/>
        </w:rPr>
        <w:t>. The Deposit Agreement, the ADRs and the ADSs shall be interpreted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hereunder and thereunder and provisions hereof and thereof shall be governed by, the laws of the State of New York without reference to the principles of choice of law thereof.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 taxpayer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number is _______________________ and whose address including postal zip code is ________________, the within ADR and all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thereunder, hereby irrevocably constituting and appointing ________________________ attorney-in-fact to transfer said ADR on the books of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Dated:</w:t>
            </w:r>
          </w:p>
        </w:tc>
        <w:tc>
          <w:tcPr>
            <w:tcW w:w="7540" w:type="dxa"/>
            <w:vAlign w:val="bottom"/>
          </w:tcPr>
          <w:p>
            <w:pPr>
              <w:ind w:left="18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23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23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NOTICE: The signature of the Holder to this assignment must correspond with</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2"/>
              </w:rPr>
              <w:t>the name as written upon the face of the within instrument in every particular,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without alteration or enlargement or any change whatsoever.</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0"/>
              </w:rPr>
              <w:t>If the endorsement be executed by an attorney, executor, administrator, trustee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3"/>
              </w:rPr>
              <w:t>or guardian, the person executing the endorsement must give his/her full title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in such capacity and proper evidence of authority to act in such capacity, if not</w:t>
            </w:r>
          </w:p>
        </w:tc>
        <w:tc>
          <w:tcPr>
            <w:tcW w:w="0" w:type="dxa"/>
            <w:vAlign w:val="bottom"/>
          </w:tcPr>
          <w:p>
            <w:pPr>
              <w:spacing w:after="0"/>
              <w:rPr>
                <w:sz w:val="1"/>
                <w:szCs w:val="1"/>
                <w:color w:val="auto"/>
              </w:rPr>
            </w:pPr>
          </w:p>
        </w:tc>
      </w:tr>
      <w:tr>
        <w:trPr>
          <w:trHeight w:val="230"/>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540" w:type="dxa"/>
            <w:vAlign w:val="bottom"/>
          </w:tcPr>
          <w:p>
            <w:pPr>
              <w:ind w:left="1840"/>
              <w:spacing w:after="0"/>
              <w:rPr>
                <w:sz w:val="20"/>
                <w:szCs w:val="20"/>
                <w:color w:val="auto"/>
              </w:rPr>
            </w:pPr>
            <w:r>
              <w:rPr>
                <w:rFonts w:ascii="Arial" w:cs="Arial" w:eastAsia="Arial" w:hAnsi="Arial"/>
                <w:sz w:val="18"/>
                <w:szCs w:val="18"/>
                <w:color w:val="auto"/>
              </w:rPr>
              <w:t>on file with the Depositary, must be forwarded with this ADR.</w:t>
            </w:r>
          </w:p>
        </w:tc>
        <w:tc>
          <w:tcPr>
            <w:tcW w:w="0" w:type="dxa"/>
            <w:vAlign w:val="bottom"/>
          </w:tcPr>
          <w:p>
            <w:pPr>
              <w:spacing w:after="0"/>
              <w:rPr>
                <w:sz w:val="1"/>
                <w:szCs w:val="1"/>
                <w:color w:val="auto"/>
              </w:rPr>
            </w:pPr>
          </w:p>
        </w:tc>
      </w:tr>
      <w:tr>
        <w:trPr>
          <w:trHeight w:val="202"/>
        </w:trPr>
        <w:tc>
          <w:tcPr>
            <w:tcW w:w="3880" w:type="dxa"/>
            <w:vAlign w:val="bottom"/>
            <w:vMerge w:val="continue"/>
          </w:tcPr>
          <w:p>
            <w:pPr>
              <w:spacing w:after="0"/>
              <w:rPr>
                <w:sz w:val="17"/>
                <w:szCs w:val="17"/>
                <w:color w:val="auto"/>
              </w:rPr>
            </w:pPr>
          </w:p>
        </w:tc>
        <w:tc>
          <w:tcPr>
            <w:tcW w:w="7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SIGNATURE GUARANTEED</w:t>
            </w:r>
          </w:p>
        </w:tc>
        <w:tc>
          <w:tcPr>
            <w:tcW w:w="7540" w:type="dxa"/>
            <w:vAlign w:val="bottom"/>
            <w:vMerge w:val="restart"/>
          </w:tcPr>
          <w:p>
            <w:pPr>
              <w:ind w:left="1840"/>
              <w:spacing w:after="0"/>
              <w:rPr>
                <w:sz w:val="20"/>
                <w:szCs w:val="20"/>
                <w:color w:val="auto"/>
              </w:rPr>
            </w:pPr>
            <w:r>
              <w:rPr>
                <w:rFonts w:ascii="Arial" w:cs="Arial" w:eastAsia="Arial" w:hAnsi="Arial"/>
                <w:sz w:val="18"/>
                <w:szCs w:val="18"/>
                <w:color w:val="auto"/>
                <w:w w:val="89"/>
              </w:rPr>
              <w:t>All endorsements or assignments of ADRs must be guaranteed by a member of</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7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 Medallion Signature Program approved by the Securities Transfer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7540" w:type="dxa"/>
            <w:vAlign w:val="bottom"/>
          </w:tcPr>
          <w:p>
            <w:pPr>
              <w:ind w:left="1520"/>
              <w:spacing w:after="0"/>
              <w:rPr>
                <w:sz w:val="20"/>
                <w:szCs w:val="20"/>
                <w:color w:val="auto"/>
              </w:rPr>
            </w:pPr>
            <w:r>
              <w:rPr>
                <w:rFonts w:ascii="Arial" w:cs="Arial" w:eastAsia="Arial" w:hAnsi="Arial"/>
                <w:sz w:val="18"/>
                <w:szCs w:val="18"/>
                <w:b w:val="1"/>
                <w:bCs w:val="1"/>
                <w:color w:val="auto"/>
              </w:rPr>
              <w:t>Legends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are payable under the terms of the Deposit Agreement: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By Whom Paid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 Issuance of ADSs (</w:t>
            </w:r>
            <w:r>
              <w:rPr>
                <w:rFonts w:ascii="Arial" w:cs="Arial" w:eastAsia="Arial" w:hAnsi="Arial"/>
                <w:sz w:val="18"/>
                <w:szCs w:val="18"/>
                <w:i w:val="1"/>
                <w:iCs w:val="1"/>
                <w:color w:val="auto"/>
              </w:rPr>
              <w:t>e.g.</w:t>
            </w:r>
            <w:r>
              <w:rPr>
                <w:rFonts w:ascii="Arial" w:cs="Arial" w:eastAsia="Arial" w:hAnsi="Arial"/>
                <w:sz w:val="18"/>
                <w:szCs w:val="18"/>
                <w:color w:val="auto"/>
              </w:rPr>
              <w:t>, an issuance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deposit of Shares, upon a change in the ADS(s)-to-</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Share(s) ratio, or for any other reason), excluding</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issuances as a result of distributions described in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paragraph (4) below.</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 Cancellation of ADSs (</w:t>
            </w:r>
            <w:r>
              <w:rPr>
                <w:rFonts w:ascii="Arial" w:cs="Arial" w:eastAsia="Arial" w:hAnsi="Arial"/>
                <w:sz w:val="18"/>
                <w:szCs w:val="18"/>
                <w:i w:val="1"/>
                <w:iCs w:val="1"/>
                <w:color w:val="auto"/>
              </w:rPr>
              <w:t>e.g.</w:t>
            </w:r>
            <w:r>
              <w:rPr>
                <w:rFonts w:ascii="Arial" w:cs="Arial" w:eastAsia="Arial" w:hAnsi="Arial"/>
                <w:sz w:val="18"/>
                <w:szCs w:val="18"/>
                <w:color w:val="auto"/>
              </w:rPr>
              <w:t>, a cancellation of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ADSs for Delivery of deposited Shares,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change in the ADS(s)-to-Share(s) ratio, or for any</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reason).</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 Distribution of cash dividends or other cash</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distributions (</w:t>
            </w:r>
            <w:r>
              <w:rPr>
                <w:rFonts w:ascii="Arial" w:cs="Arial" w:eastAsia="Arial" w:hAnsi="Arial"/>
                <w:sz w:val="18"/>
                <w:szCs w:val="18"/>
                <w:i w:val="1"/>
                <w:iCs w:val="1"/>
                <w:color w:val="auto"/>
                <w:w w:val="97"/>
              </w:rPr>
              <w:t>e.g.</w:t>
            </w:r>
            <w:r>
              <w:rPr>
                <w:rFonts w:ascii="Arial" w:cs="Arial" w:eastAsia="Arial" w:hAnsi="Arial"/>
                <w:sz w:val="18"/>
                <w:szCs w:val="18"/>
                <w:color w:val="auto"/>
                <w:w w:val="97"/>
              </w:rPr>
              <w:t>, upon a sale of rights and other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entitlements).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 Distribution of ADSs pursuant to (i) stock</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dividends or other free stock distributions, or (ii) an</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 of rights to purchase additional ADSs.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 Distribution of securities other than ADSs or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rights to purchase additional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spin-off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42"/>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w w:val="99"/>
              </w:rPr>
              <w:t>(6)</w:t>
            </w:r>
          </w:p>
        </w:tc>
        <w:tc>
          <w:tcPr>
            <w:tcW w:w="3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ADS Services.</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Person holding ADSs on the applicable record</w:t>
            </w:r>
          </w:p>
        </w:tc>
      </w:tr>
      <w:tr>
        <w:trPr>
          <w:trHeight w:val="216"/>
        </w:trPr>
        <w:tc>
          <w:tcPr>
            <w:tcW w:w="28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 on the applicable record date(s)</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28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74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(7)</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registration of the transfer of registered ownership</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transferred.</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transferred.</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of ADSs, upon a transfer of ADSs into DTC and</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(8)</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Conversion of ADSs of one series for ADSs of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Person for whom ADSs are converted or to whom</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another series (</w:t>
            </w:r>
            <w:r>
              <w:rPr>
                <w:rFonts w:ascii="Arial" w:cs="Arial" w:eastAsia="Arial" w:hAnsi="Arial"/>
                <w:sz w:val="18"/>
                <w:szCs w:val="18"/>
                <w:i w:val="1"/>
                <w:iCs w:val="1"/>
                <w:color w:val="auto"/>
              </w:rPr>
              <w:t>e.g.</w:t>
            </w:r>
            <w:r>
              <w:rPr>
                <w:rFonts w:ascii="Arial" w:cs="Arial" w:eastAsia="Arial" w:hAnsi="Arial"/>
                <w:sz w:val="18"/>
                <w:szCs w:val="18"/>
                <w:color w:val="auto"/>
              </w:rPr>
              <w:t>, upon conversion of Partial</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converted.</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converted ADSs are delivered.</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Entitlement ADSs for Full Entitlement ADSs, or</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upon conversion of Restricted ADSs into freely</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1"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660" w:right="48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0" w:lineRule="exact"/>
        <w:rPr>
          <w:rFonts w:ascii="Arial" w:cs="Arial" w:eastAsia="Arial" w:hAnsi="Arial"/>
          <w:sz w:val="18"/>
          <w:szCs w:val="18"/>
          <w:color w:val="auto"/>
        </w:rPr>
      </w:pPr>
    </w:p>
    <w:p>
      <w:pPr>
        <w:ind w:left="660" w:right="32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96" w:name="page97"/>
    <w:bookmarkEnd w:id="96"/>
    <w:p>
      <w:pPr>
        <w:ind w:left="6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above fees and charges may at any time and from time to time be changed by agreement between the Company and the Depositary.</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41" w:right="899" w:bottom="1440" w:gutter="0" w:footer="0" w:header="0"/>
        </w:sectPr>
      </w:pPr>
    </w:p>
    <w:bookmarkStart w:id="97" w:name="page98"/>
    <w:bookmarkEnd w:id="9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1246505</wp:posOffset>
            </wp:positionH>
            <wp:positionV relativeFrom="page">
              <wp:posOffset>243205</wp:posOffset>
            </wp:positionV>
            <wp:extent cx="5042535" cy="677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042535" cy="6775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December 17,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We refer to the Registration Statement on Form F-6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by the legal entity to be created by the Deposit Agreement (as hereinafter defined) for the purpose of registering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100,000,000 American Depositary Shares (the “</w:t>
      </w:r>
      <w:r>
        <w:rPr>
          <w:rFonts w:ascii="Arial" w:cs="Arial" w:eastAsia="Arial" w:hAnsi="Arial"/>
          <w:sz w:val="17"/>
          <w:szCs w:val="17"/>
          <w:u w:val="single" w:color="auto"/>
          <w:color w:val="auto"/>
        </w:rPr>
        <w:t>ADSs</w:t>
      </w:r>
      <w:r>
        <w:rPr>
          <w:rFonts w:ascii="Arial" w:cs="Arial" w:eastAsia="Arial" w:hAnsi="Arial"/>
          <w:sz w:val="17"/>
          <w:szCs w:val="17"/>
          <w:color w:val="auto"/>
        </w:rPr>
        <w:t>”) to be issued under the Deposit Agreement, by and among Citibank, N.A., as Depositary, I-Mab, an exempted company with limited liability organized under the laws of the Cayman Islands (the “</w:t>
      </w:r>
      <w:r>
        <w:rPr>
          <w:rFonts w:ascii="Arial" w:cs="Arial" w:eastAsia="Arial" w:hAnsi="Arial"/>
          <w:sz w:val="17"/>
          <w:szCs w:val="17"/>
          <w:u w:val="single" w:color="auto"/>
          <w:color w:val="auto"/>
        </w:rPr>
        <w:t>Company</w:t>
      </w:r>
      <w:r>
        <w:rPr>
          <w:rFonts w:ascii="Arial" w:cs="Arial" w:eastAsia="Arial" w:hAnsi="Arial"/>
          <w:sz w:val="17"/>
          <w:szCs w:val="17"/>
          <w:color w:val="auto"/>
        </w:rPr>
        <w:t>”), and all Holders and Beneficial Owners (each as defined in the Deposit Agreement and hereinafter used as so defined) of ADSs issued thereunder, a draft copy of which is being filed as Exhibit (a) to the Registration Statement (the “</w:t>
      </w:r>
      <w:r>
        <w:rPr>
          <w:rFonts w:ascii="Arial" w:cs="Arial" w:eastAsia="Arial" w:hAnsi="Arial"/>
          <w:sz w:val="17"/>
          <w:szCs w:val="17"/>
          <w:u w:val="single" w:color="auto"/>
          <w:color w:val="auto"/>
        </w:rPr>
        <w:t>Deposit Agreement</w:t>
      </w:r>
      <w:r>
        <w:rPr>
          <w:rFonts w:ascii="Arial" w:cs="Arial" w:eastAsia="Arial" w:hAnsi="Arial"/>
          <w:sz w:val="17"/>
          <w:szCs w:val="17"/>
          <w:color w:val="auto"/>
        </w:rPr>
        <w:t>”). Each ten (10) ADSs will represent, subject to the terms and conditions of the Deposit Agreement, the laws of the Cayman Islands, and, if applicable, the American Depositary Receipt (“</w:t>
      </w:r>
      <w:r>
        <w:rPr>
          <w:rFonts w:ascii="Arial" w:cs="Arial" w:eastAsia="Arial" w:hAnsi="Arial"/>
          <w:sz w:val="17"/>
          <w:szCs w:val="17"/>
          <w:u w:val="single" w:color="auto"/>
          <w:color w:val="auto"/>
        </w:rPr>
        <w:t>ADR</w:t>
      </w:r>
      <w:r>
        <w:rPr>
          <w:rFonts w:ascii="Arial" w:cs="Arial" w:eastAsia="Arial" w:hAnsi="Arial"/>
          <w:sz w:val="17"/>
          <w:szCs w:val="17"/>
          <w:color w:val="auto"/>
        </w:rPr>
        <w:t>”) evidencing such ADSs, the right to receive twenty-three (23) ordinary shares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7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Nothing contained herein or in any document referred to herein is intended by this firm to be used, and the addressees hereof cannot use anything contained herein or in any document referred to herein, as “tax advice” (within the meaning given to such term by the United States Internal Revenue Service (“</w:t>
      </w:r>
      <w:r>
        <w:rPr>
          <w:rFonts w:ascii="Arial" w:cs="Arial" w:eastAsia="Arial" w:hAnsi="Arial"/>
          <w:sz w:val="17"/>
          <w:szCs w:val="17"/>
          <w:u w:val="single" w:color="auto"/>
          <w:color w:val="auto"/>
        </w:rPr>
        <w:t>IRS</w:t>
      </w:r>
      <w:r>
        <w:rPr>
          <w:rFonts w:ascii="Arial" w:cs="Arial" w:eastAsia="Arial" w:hAnsi="Arial"/>
          <w:sz w:val="17"/>
          <w:szCs w:val="17"/>
          <w:color w:val="auto"/>
        </w:rPr>
        <w:t>”) in IRS Circular 230 and any related interpretative advice issued by the IRS in respect of IRS Circular 230 prior to the date hereof, and hereinafter used within such meaning and interpretative advice). Without admitting that anything contained herein or in any document referred to herein constitutes “tax advice” for any purpose, notice is hereby given that, to the extent anything contained herein or in any document referred to herein constitutes, or is or may be interpreted by any court, by the IRS or by any other administrative body to constitute, “tax advice,” such “tax advice” is not intended or written to be used, and cannot be used, for the purpose of (i) avoiding penalties under the United States Internal Revenue Code of 1986, as amended, or (ii) promoting, marketing or recommending to any party any transaction or matter addressed herein.</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have been declared effective by the SEC,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8" w:name="page99"/>
    <w:bookmarkEnd w:id="98"/>
    <w:p>
      <w:pPr>
        <w:jc w:val="both"/>
        <w:ind w:firstLine="1297"/>
        <w:spacing w:after="0" w:line="264"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Herman H. Raspé</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 Member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24784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1"/>
    </w:lvl>
  </w:abstractNum>
  <w:abstractNum w:abstractNumId="6">
    <w:nsid w:val="3804823E"/>
    <w:multiLevelType w:val="hybridMultilevel"/>
    <w:lvl w:ilvl="0">
      <w:lvlJc w:val="left"/>
      <w:lvlText w:val="%1"/>
      <w:numFmt w:val="lowerLetter"/>
      <w:start w:val="1"/>
    </w:lvl>
    <w:lvl w:ilvl="1">
      <w:lvlJc w:val="left"/>
      <w:lvlText w:val="(%2)"/>
      <w:numFmt w:val="lowerLetter"/>
      <w:start w:val="2"/>
    </w:lvl>
  </w:abstractNum>
  <w:abstractNum w:abstractNumId="7">
    <w:nsid w:val="77465F01"/>
    <w:multiLevelType w:val="hybridMultilevel"/>
    <w:lvl w:ilvl="0">
      <w:lvlJc w:val="left"/>
      <w:lvlText w:val="(%1)"/>
      <w:numFmt w:val="lowerLetter"/>
      <w:start w:val="35"/>
    </w:lvl>
    <w:lvl w:ilvl="1">
      <w:lvlJc w:val="left"/>
      <w:lvlText w:val="(%2)"/>
      <w:numFmt w:val="lowerLetter"/>
      <w:start w:val="3"/>
    </w:lvl>
  </w:abstractNum>
  <w:abstractNum w:abstractNumId="8">
    <w:nsid w:val="7724C67E"/>
    <w:multiLevelType w:val="hybridMultilevel"/>
    <w:lvl w:ilvl="0">
      <w:lvlJc w:val="left"/>
      <w:lvlText w:val="(%1)"/>
      <w:numFmt w:val="upperLetter"/>
      <w:start w:val="2"/>
    </w:lvl>
  </w:abstractNum>
  <w:abstractNum w:abstractNumId="9">
    <w:nsid w:val="5C482A97"/>
    <w:multiLevelType w:val="hybridMultilevel"/>
    <w:lvl w:ilvl="0">
      <w:lvlJc w:val="left"/>
      <w:lvlText w:val="%1"/>
      <w:numFmt w:val="lowerLetter"/>
      <w:start w:val="1"/>
    </w:lvl>
    <w:lvl w:ilvl="1">
      <w:lvlJc w:val="left"/>
      <w:lvlText w:val="(%2)"/>
      <w:numFmt w:val="lowerLetter"/>
      <w:start w:val="1"/>
    </w:lvl>
  </w:abstractNum>
  <w:abstractNum w:abstractNumId="10">
    <w:nsid w:val="2463B9EA"/>
    <w:multiLevelType w:val="hybridMultilevel"/>
    <w:lvl w:ilvl="0">
      <w:lvlJc w:val="left"/>
      <w:lvlText w:val="(%1)"/>
      <w:numFmt w:val="lowerLetter"/>
      <w:start w:val="9"/>
    </w:lvl>
    <w:lvl w:ilvl="1">
      <w:lvlJc w:val="left"/>
      <w:lvlText w:val="(%2)"/>
      <w:numFmt w:val="lowerLetter"/>
      <w:start w:val="2"/>
    </w:lvl>
  </w:abstractNum>
  <w:abstractNum w:abstractNumId="11">
    <w:nsid w:val="5E884ADC"/>
    <w:multiLevelType w:val="hybridMultilevel"/>
    <w:lvl w:ilvl="0">
      <w:lvlJc w:val="left"/>
      <w:lvlText w:val="%1"/>
      <w:numFmt w:val="upperLetter"/>
      <w:start w:val="1"/>
    </w:lvl>
    <w:lvl w:ilvl="1">
      <w:lvlJc w:val="left"/>
      <w:lvlText w:val="(%2)"/>
      <w:numFmt w:val="lowerLetter"/>
      <w:start w:val="1"/>
    </w:lvl>
  </w:abstractNum>
  <w:abstractNum w:abstractNumId="12">
    <w:nsid w:val="51EAD36B"/>
    <w:multiLevelType w:val="hybridMultilevel"/>
    <w:lvl w:ilvl="0">
      <w:lvlJc w:val="left"/>
      <w:lvlText w:val="(%1)"/>
      <w:numFmt w:val="upperLetter"/>
      <w:start w:val="1"/>
    </w:lvl>
    <w:lvl w:ilvl="1">
      <w:lvlJc w:val="left"/>
      <w:lvlText w:val="(%2)"/>
      <w:numFmt w:val="lowerLetter"/>
      <w:start w:val="2"/>
    </w:lvl>
  </w:abstractNum>
  <w:abstractNum w:abstractNumId="13">
    <w:nsid w:val="2D517796"/>
    <w:multiLevelType w:val="hybridMultilevel"/>
    <w:lvl w:ilvl="0">
      <w:lvlJc w:val="left"/>
      <w:lvlText w:val="(%1)"/>
      <w:numFmt w:val="lowerRoman"/>
      <w:start w:val="1"/>
    </w:lvl>
  </w:abstractNum>
  <w:abstractNum w:abstractNumId="14">
    <w:nsid w:val="580BD78F"/>
    <w:multiLevelType w:val="hybridMultilevel"/>
    <w:lvl w:ilvl="0">
      <w:lvlJc w:val="left"/>
      <w:lvlText w:val="(%1)"/>
      <w:numFmt w:val="lowerRoman"/>
      <w:start w:val="1"/>
    </w:lvl>
  </w:abstractNum>
  <w:abstractNum w:abstractNumId="15">
    <w:nsid w:val="153EA438"/>
    <w:multiLevelType w:val="hybridMultilevel"/>
    <w:lvl w:ilvl="0">
      <w:lvlJc w:val="left"/>
      <w:lvlText w:val="(%1)"/>
      <w:numFmt w:val="lowerRoman"/>
      <w:start w:val="5"/>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2"/>
    </w:lvl>
  </w:abstractNum>
  <w:abstractNum w:abstractNumId="19">
    <w:nsid w:val="2A487CB0"/>
    <w:multiLevelType w:val="hybridMultilevel"/>
    <w:lvl w:ilvl="0">
      <w:lvlJc w:val="left"/>
      <w:lvlText w:val="%1"/>
      <w:numFmt w:val="lowerLetter"/>
      <w:start w:val="1"/>
    </w:lvl>
    <w:lvl w:ilvl="1">
      <w:lvlJc w:val="left"/>
      <w:lvlText w:val="(%2)"/>
      <w:numFmt w:val="lowerLetter"/>
      <w:start w:val="1"/>
    </w:lvl>
  </w:abstractNum>
  <w:abstractNum w:abstractNumId="20">
    <w:nsid w:val="1D4ED43B"/>
    <w:multiLevelType w:val="hybridMultilevel"/>
    <w:lvl w:ilvl="0">
      <w:lvlJc w:val="left"/>
      <w:lvlText w:val="(%1)"/>
      <w:numFmt w:val="lowerLetter"/>
      <w:start w:val="2"/>
    </w:lvl>
    <w:lvl w:ilvl="1">
      <w:lvlJc w:val="left"/>
      <w:lvlText w:val="%2"/>
      <w:numFmt w:val="lowerLetter"/>
      <w:start w:val="1"/>
    </w:lvl>
  </w:abstractNum>
  <w:abstractNum w:abstractNumId="21">
    <w:nsid w:val="725A06FB"/>
    <w:multiLevelType w:val="hybridMultilevel"/>
    <w:lvl w:ilvl="0">
      <w:lvlJc w:val="left"/>
      <w:lvlText w:val="(%1)"/>
      <w:numFmt w:val="lowerLetter"/>
      <w:start w:val="4"/>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Roman"/>
      <w:start w:val="2"/>
    </w:lvl>
  </w:abstractNum>
  <w:abstractNum w:abstractNumId="24">
    <w:nsid w:val="7A6D8D3C"/>
    <w:multiLevelType w:val="hybridMultilevel"/>
    <w:lvl w:ilvl="0">
      <w:lvlJc w:val="left"/>
      <w:lvlText w:val="(%1)"/>
      <w:numFmt w:val="lowerRoman"/>
      <w:start w:val="2"/>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2"/>
    </w:lvl>
  </w:abstractNum>
  <w:abstractNum w:abstractNumId="27">
    <w:nsid w:val="6DE91B18"/>
    <w:multiLevelType w:val="hybridMultilevel"/>
    <w:lvl w:ilvl="0">
      <w:lvlJc w:val="left"/>
      <w:lvlText w:val="(%1)"/>
      <w:numFmt w:val="lowerLetter"/>
      <w:start w:val="1"/>
    </w:lvl>
  </w:abstractNum>
  <w:abstractNum w:abstractNumId="28">
    <w:nsid w:val="38437FDB"/>
    <w:multiLevelType w:val="hybridMultilevel"/>
    <w:lvl w:ilvl="0">
      <w:lvlJc w:val="left"/>
      <w:lvlText w:val="(%1)"/>
      <w:numFmt w:val="decimal"/>
      <w:start w:val="23"/>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lowerRoman"/>
      <w:start w:val="1"/>
    </w:lvl>
    <w:lvl w:ilvl="1">
      <w:lvlJc w:val="left"/>
      <w:lvlText w:val="(%2)"/>
      <w:numFmt w:val="decimal"/>
      <w:start w:val="2"/>
    </w:lvl>
  </w:abstractNum>
  <w:abstractNum w:abstractNumId="31">
    <w:nsid w:val="684A481A"/>
    <w:multiLevelType w:val="hybridMultilevel"/>
    <w:lvl w:ilvl="0">
      <w:lvlJc w:val="left"/>
      <w:lvlText w:val="(%1)"/>
      <w:numFmt w:val="lowerRoman"/>
      <w:start w:val="3"/>
    </w:lvl>
    <w:lvl w:ilvl="1">
      <w:lvlJc w:val="left"/>
      <w:lvlText w:val="%2"/>
      <w:numFmt w:val="decimal"/>
      <w:start w:val="1"/>
    </w:lvl>
  </w:abstractNum>
  <w:abstractNum w:abstractNumId="32">
    <w:nsid w:val="579478FE"/>
    <w:multiLevelType w:val="hybridMultilevel"/>
    <w:lvl w:ilvl="0">
      <w:lvlJc w:val="left"/>
      <w:lvlText w:val="%1"/>
      <w:numFmt w:val="lowerLetter"/>
      <w:start w:val="1"/>
    </w:lvl>
    <w:lvl w:ilvl="1">
      <w:lvlJc w:val="left"/>
      <w:lvlText w:val="(%2)"/>
      <w:numFmt w:val="decimal"/>
      <w:start w:val="3"/>
    </w:lvl>
  </w:abstractNum>
  <w:abstractNum w:abstractNumId="33">
    <w:nsid w:val="749ABB43"/>
    <w:multiLevelType w:val="hybridMultilevel"/>
    <w:lvl w:ilvl="0">
      <w:lvlJc w:val="left"/>
      <w:lvlText w:val="(%1)"/>
      <w:numFmt w:val="lowerLetter"/>
      <w:start w:val="24"/>
    </w:lvl>
    <w:lvl w:ilvl="1">
      <w:lvlJc w:val="left"/>
      <w:lvlText w:val="%2"/>
      <w:numFmt w:val="decimal"/>
      <w:start w:val="1"/>
    </w:lvl>
  </w:abstractNum>
  <w:abstractNum w:abstractNumId="34">
    <w:nsid w:val="3DC240FB"/>
    <w:multiLevelType w:val="hybridMultilevel"/>
    <w:lvl w:ilvl="0">
      <w:lvlJc w:val="left"/>
      <w:lvlText w:val="(%1)"/>
      <w:numFmt w:val="decimal"/>
      <w:start w:val="4"/>
    </w:lvl>
  </w:abstractNum>
  <w:abstractNum w:abstractNumId="35">
    <w:nsid w:val="1BA026FA"/>
    <w:multiLevelType w:val="hybridMultilevel"/>
    <w:lvl w:ilvl="0">
      <w:lvlJc w:val="left"/>
      <w:lvlText w:val="(%1)"/>
      <w:numFmt w:val="lowerRoman"/>
      <w:start w:val="2"/>
    </w:lvl>
    <w:lvl w:ilvl="1">
      <w:lvlJc w:val="left"/>
      <w:lvlText w:val="(%2)"/>
      <w:numFmt w:val="decimal"/>
      <w:start w:val="5"/>
    </w:lvl>
  </w:abstractNum>
  <w:abstractNum w:abstractNumId="36">
    <w:nsid w:val="79A1DEAA"/>
    <w:multiLevelType w:val="hybridMultilevel"/>
    <w:lvl w:ilvl="0">
      <w:lvlJc w:val="left"/>
      <w:lvlText w:val="(%1)"/>
      <w:numFmt w:val="decimal"/>
      <w:start w:val="7"/>
    </w:lvl>
  </w:abstractNum>
  <w:abstractNum w:abstractNumId="37">
    <w:nsid w:val="75C6C33A"/>
    <w:multiLevelType w:val="hybridMultilevel"/>
    <w:lvl w:ilvl="0">
      <w:lvlJc w:val="left"/>
      <w:lvlText w:val="(%1)"/>
      <w:numFmt w:val="decimal"/>
      <w:start w:val="9"/>
    </w:lvl>
    <w:lvl w:ilvl="1">
      <w:lvlJc w:val="left"/>
      <w:lvlText w:val="(%2)"/>
      <w:numFmt w:val="lowerRoman"/>
      <w:start w:val="1"/>
    </w:lvl>
  </w:abstractNum>
  <w:abstractNum w:abstractNumId="38">
    <w:nsid w:val="12E685FB"/>
    <w:multiLevelType w:val="hybridMultilevel"/>
    <w:lvl w:ilvl="0">
      <w:lvlJc w:val="left"/>
      <w:lvlText w:val="(%1)"/>
      <w:numFmt w:val="lowerRoman"/>
      <w:start w:val="2"/>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decimal"/>
      <w:start w:val="12"/>
    </w:lvl>
  </w:abstractNum>
  <w:abstractNum w:abstractNumId="41">
    <w:nsid w:val="374A3FE6"/>
    <w:multiLevelType w:val="hybridMultilevel"/>
    <w:lvl w:ilvl="0">
      <w:lvlJc w:val="left"/>
      <w:lvlText w:val="(%1)"/>
      <w:numFmt w:val="decimal"/>
      <w:start w:val="13"/>
    </w:lvl>
  </w:abstractNum>
  <w:abstractNum w:abstractNumId="42">
    <w:nsid w:val="4F4EF005"/>
    <w:multiLevelType w:val="hybridMultilevel"/>
    <w:lvl w:ilvl="0">
      <w:lvlJc w:val="left"/>
      <w:lvlText w:val="(%1)"/>
      <w:numFmt w:val="decimal"/>
      <w:start w:val="15"/>
    </w:lvl>
  </w:abstractNum>
  <w:abstractNum w:abstractNumId="43">
    <w:nsid w:val="23F9C13C"/>
    <w:multiLevelType w:val="hybridMultilevel"/>
    <w:lvl w:ilvl="0">
      <w:lvlJc w:val="left"/>
      <w:lvlText w:val="(%1)"/>
      <w:numFmt w:val="lowerLetter"/>
      <w:start w:val="2"/>
    </w:lvl>
  </w:abstractNum>
  <w:abstractNum w:abstractNumId="44">
    <w:nsid w:val="649BB77C"/>
    <w:multiLevelType w:val="hybridMultilevel"/>
    <w:lvl w:ilvl="0">
      <w:lvlJc w:val="left"/>
      <w:lvlText w:val="%1"/>
      <w:numFmt w:val="lowerLetter"/>
      <w:start w:val="1"/>
    </w:lvl>
    <w:lvl w:ilvl="1">
      <w:lvlJc w:val="left"/>
      <w:lvlText w:val="(%2)"/>
      <w:numFmt w:val="lowerLetter"/>
      <w:start w:val="3"/>
    </w:lvl>
  </w:abstractNum>
  <w:abstractNum w:abstractNumId="45">
    <w:nsid w:val="275AC794"/>
    <w:multiLevelType w:val="hybridMultilevel"/>
    <w:lvl w:ilvl="0">
      <w:lvlJc w:val="left"/>
      <w:lvlText w:val="(%1)"/>
      <w:numFmt w:val="lowerLetter"/>
      <w:start w:val="25"/>
    </w:lvl>
    <w:lvl w:ilvl="1">
      <w:lvlJc w:val="left"/>
      <w:lvlText w:val="(%2)"/>
      <w:numFmt w:val="lowerLetter"/>
      <w:start w:val="4"/>
    </w:lvl>
  </w:abstractNum>
  <w:abstractNum w:abstractNumId="46">
    <w:nsid w:val="39386575"/>
    <w:multiLevelType w:val="hybridMultilevel"/>
    <w:lvl w:ilvl="0">
      <w:lvlJc w:val="left"/>
      <w:lvlText w:val="(%1)"/>
      <w:numFmt w:val="lowerLetter"/>
      <w:start w:val="35"/>
    </w:lvl>
    <w:lvl w:ilvl="1">
      <w:lvlJc w:val="left"/>
      <w:lvlText w:val="%2"/>
      <w:numFmt w:val="lowerLetter"/>
      <w:start w:val="1"/>
    </w:lvl>
  </w:abstractNum>
  <w:abstractNum w:abstractNumId="47">
    <w:nsid w:val="1CF10FD8"/>
    <w:multiLevelType w:val="hybridMultilevel"/>
    <w:lvl w:ilvl="0">
      <w:lvlJc w:val="left"/>
      <w:lvlText w:val="(%1)"/>
      <w:numFmt w:val="lowerLetter"/>
      <w:start w:val="5"/>
    </w:lvl>
  </w:abstractNum>
  <w:abstractNum w:abstractNumId="48">
    <w:nsid w:val="180115BE"/>
    <w:multiLevelType w:val="hybridMultilevel"/>
    <w:lvl w:ilvl="0">
      <w:lvlJc w:val="left"/>
      <w:lvlText w:val="(%1)"/>
      <w:numFmt w:val="decimal"/>
      <w:start w:val="16"/>
    </w:lvl>
  </w:abstractNum>
  <w:abstractNum w:abstractNumId="49">
    <w:nsid w:val="235BA861"/>
    <w:multiLevelType w:val="hybridMultilevel"/>
    <w:lvl w:ilvl="0">
      <w:lvlJc w:val="left"/>
      <w:lvlText w:val="(%1)"/>
      <w:numFmt w:val="decimal"/>
      <w:start w:val="17"/>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1"/>
    </w:lvl>
    <w:lvl w:ilvl="1">
      <w:lvlJc w:val="left"/>
      <w:lvlText w:val="(%2)"/>
      <w:numFmt w:val="decimal"/>
      <w:start w:val="19"/>
    </w:lvl>
  </w:abstractNum>
  <w:abstractNum w:abstractNumId="52">
    <w:nsid w:val="15B5AF5C"/>
    <w:multiLevelType w:val="hybridMultilevel"/>
    <w:lvl w:ilvl="0">
      <w:lvlJc w:val="left"/>
      <w:lvlText w:val="(%1)"/>
      <w:numFmt w:val="lowerLetter"/>
      <w:start w:val="35"/>
    </w:lvl>
    <w:lvl w:ilvl="1">
      <w:lvlJc w:val="left"/>
      <w:lvlText w:val="%2"/>
      <w:numFmt w:val="decimal"/>
      <w:start w:val="1"/>
    </w:lvl>
  </w:abstractNum>
  <w:abstractNum w:abstractNumId="53">
    <w:nsid w:val="741226BB"/>
    <w:multiLevelType w:val="hybridMultilevel"/>
    <w:lvl w:ilvl="0">
      <w:lvlJc w:val="left"/>
      <w:lvlText w:val="(%1)"/>
      <w:numFmt w:val="lowerLetter"/>
      <w:start w:val="1"/>
    </w:lvl>
    <w:lvl w:ilvl="1">
      <w:lvlJc w:val="left"/>
      <w:lvlText w:val="%2"/>
      <w:numFmt w:val="decimal"/>
      <w:start w:val="1"/>
    </w:lvl>
  </w:abstractNum>
  <w:abstractNum w:abstractNumId="54">
    <w:nsid w:val="D34B6A8"/>
    <w:multiLevelType w:val="hybridMultilevel"/>
    <w:lvl w:ilvl="0">
      <w:lvlJc w:val="left"/>
      <w:lvlText w:val="(%1)"/>
      <w:numFmt w:val="decimal"/>
      <w:start w:val="20"/>
    </w:lvl>
  </w:abstractNum>
  <w:abstractNum w:abstractNumId="55">
    <w:nsid w:val="10233C99"/>
    <w:multiLevelType w:val="hybridMultilevel"/>
    <w:lvl w:ilvl="0">
      <w:lvlJc w:val="left"/>
      <w:lvlText w:val="(%1)"/>
      <w:numFmt w:val="decimal"/>
      <w:start w:val="22"/>
    </w:lvl>
  </w:abstractNum>
  <w:abstractNum w:abstractNumId="56">
    <w:nsid w:val="3F6AB60F"/>
    <w:multiLevelType w:val="hybridMultilevel"/>
    <w:lvl w:ilvl="0">
      <w:lvlJc w:val="left"/>
      <w:lvlText w:val="(%1)"/>
      <w:numFmt w:val="decimal"/>
      <w:start w:val="23"/>
    </w:lvl>
  </w:abstractNum>
  <w:abstractNum w:abstractNumId="57">
    <w:nsid w:val="61574095"/>
    <w:multiLevelType w:val="hybridMultilevel"/>
    <w:lvl w:ilvl="0">
      <w:lvlJc w:val="left"/>
      <w:lvlText w:val="(%1)"/>
      <w:numFmt w:val="decimal"/>
      <w:start w:val="24"/>
    </w:lvl>
  </w:abstractNum>
  <w:abstractNum w:abstractNumId="58">
    <w:nsid w:val="7E0C57B1"/>
    <w:multiLevelType w:val="hybridMultilevel"/>
    <w:lvl w:ilvl="0">
      <w:lvlJc w:val="left"/>
      <w:lvlText w:val="(%1)"/>
      <w:numFmt w:val="decimal"/>
      <w:start w:val="25"/>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1)"/>
      <w:numFmt w:val="decimal"/>
      <w:start w:val="26"/>
    </w:lvl>
  </w:abstractNum>
  <w:abstractNum w:abstractNumId="61">
    <w:nsid w:val="310C50B3"/>
    <w:multiLevelType w:val="hybridMultilevel"/>
    <w:lvl w:ilvl="0">
      <w:lvlJc w:val="left"/>
      <w:lvlText w:val="(%1)"/>
      <w:numFmt w:val="decimal"/>
      <w:start w:val="27"/>
    </w:lvl>
  </w:abstractNum>
  <w:abstractNum w:abstractNumId="62">
    <w:nsid w:val="5FF87E05"/>
    <w:multiLevelType w:val="hybridMultilevel"/>
    <w:lvl w:ilvl="0">
      <w:lvlJc w:val="left"/>
      <w:lvlText w:val="%1."/>
      <w:numFmt w:val="upperLetter"/>
      <w:start w:val="9"/>
    </w:lvl>
  </w:abstractNum>
  <w:abstractNum w:abstractNumId="63">
    <w:nsid w:val="2F305DEF"/>
    <w:multiLevelType w:val="hybridMultilevel"/>
    <w:lvl w:ilvl="0">
      <w:lvlJc w:val="left"/>
      <w:lvlText w:val="%1."/>
      <w:numFmt w:val="upperLetter"/>
      <w:start w:val="35"/>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2019-12-18T05:05:23Z</dcterms:created>
  <dcterms:modified xsi:type="dcterms:W3CDTF">2019-12-18T05:05:23Z</dcterms:modified>
</cp:coreProperties>
</file>