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92026_041005.xml.htm"/>
      <w:bookmarkStart w:id="1" w:name="ksform410192026_041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 Ian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NOVABRIDGE BIOSCIENCES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2440 RESEARCH BOULEVARD,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NovaBridge Biosciences</w:t>
              </w:r>
            </w:hyperlink>
            <w:r>
              <w:rPr/>
              <w:t xml:space="preserve"> [ </w:t>
            </w:r>
            <w:r>
              <w:rPr>
                <w:rFonts w:ascii="Times;serif" w:hAnsi="Times;serif"/>
                <w:color w:val="0000FF"/>
                <w:sz w:val="24"/>
                <w:shd w:fill="FFFFFF" w:val="clear"/>
              </w:rPr>
              <w:t>NBP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13,271</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13,271</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61"/>
        <w:gridCol w:w="74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5,770</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5,770</w:t>
            </w: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11,540</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may be represented by American Depositary Shares ("ADS"). Each 10 ADSs represent 23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Reported securities are represented by 5,770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Reported securities represent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15, 2025, the Reporting Person was granted 17,310 restricted share units ("RSUs"). The RSUs vest or shall vest over three years in equal annual installments on October 15, 2026,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Reported securities represent ADSs.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Kyler Lei,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45" TargetMode="External"/><Relationship Id="rId5" Type="http://schemas.openxmlformats.org/officeDocument/2006/relationships/hyperlink" Target="http://www.sec.gov/cgi-bin/browse-edgar?action=getcompany&amp;CIK=000177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3651</Characters>
  <CharactersWithSpaces>4234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