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Hagler Mark Arnold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60" w:type="dxa"/>
            <w:vAlign w:val="bottom"/>
            <w:tcBorders>
              <w:top w:val="single" w:sz="8" w:color="0000EE"/>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NovaBridge Biosciences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NBP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NOVABRIDGE BIOSCIENCES,</w:t>
      </w:r>
    </w:p>
    <w:p>
      <w:pPr>
        <w:spacing w:after="0" w:line="93" w:lineRule="exact"/>
        <w:rPr>
          <w:sz w:val="24"/>
          <w:szCs w:val="24"/>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2440 RESEARCH BOULEVARD, SUITE 400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4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r>
      <w:tr>
        <w:trPr>
          <w:trHeight w:val="265"/>
        </w:trPr>
        <w:tc>
          <w:tcPr>
            <w:tcW w:w="1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ROCKVILLE MD</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20850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President and Chief Commercial Officer Exhibit List: Ex.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Xi-Yong (Sean) Fu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04/22/2026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2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 SECTION 16 REPORTING OBLIGATIONS</w:t>
      </w:r>
    </w:p>
    <w:p>
      <w:pPr>
        <w:spacing w:after="0" w:line="208" w:lineRule="exact"/>
        <w:rPr>
          <w:sz w:val="20"/>
          <w:szCs w:val="20"/>
          <w:color w:val="auto"/>
        </w:rPr>
      </w:pPr>
    </w:p>
    <w:p>
      <w:pPr>
        <w:jc w:val="both"/>
        <w:ind w:firstLine="729"/>
        <w:spacing w:after="0" w:line="242"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Xi-Yong (Sean) Fu, Kyler Lei, Lorraine Lin, Joanna Wu and Shelby DeLucia associated with the Company (as defined below), and each of them, with full power to act without the other, signing singly, as the undersigned’s true and lawful attorneys-in-fact, with full power and authority as hereinafter described on behalf of and in the name, place and stead of the undersigned to:</w:t>
      </w:r>
    </w:p>
    <w:p>
      <w:pPr>
        <w:spacing w:after="0" w:line="199" w:lineRule="exact"/>
        <w:rPr>
          <w:sz w:val="20"/>
          <w:szCs w:val="20"/>
          <w:color w:val="auto"/>
        </w:rPr>
      </w:pPr>
    </w:p>
    <w:p>
      <w:pPr>
        <w:jc w:val="both"/>
        <w:ind w:left="720" w:hanging="720"/>
        <w:spacing w:after="0" w:line="242" w:lineRule="auto"/>
        <w:tabs>
          <w:tab w:leader="none" w:pos="72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NovaBridge Biosciences, a Cayman Islands exempted company with limited liability (including any successor thereto,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Forms 3, 4, and 5 relating to the Company in accordance with Section 16(a) of the Securities Exchange Act of 1934, as amended and the rules and regulations promulgated thereunder (the “Exchange Act”);</w:t>
      </w:r>
    </w:p>
    <w:p>
      <w:pPr>
        <w:spacing w:after="0" w:line="199" w:lineRule="exact"/>
        <w:rPr>
          <w:rFonts w:ascii="Times New Roman" w:cs="Times New Roman" w:eastAsia="Times New Roman" w:hAnsi="Times New Roman"/>
          <w:sz w:val="24"/>
          <w:szCs w:val="24"/>
          <w:color w:val="auto"/>
        </w:rPr>
      </w:pPr>
    </w:p>
    <w:p>
      <w:pPr>
        <w:jc w:val="both"/>
        <w:ind w:left="720" w:hanging="720"/>
        <w:spacing w:after="0" w:line="245" w:lineRule="auto"/>
        <w:tabs>
          <w:tab w:leader="none" w:pos="72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spacing w:after="0" w:line="193" w:lineRule="exact"/>
        <w:rPr>
          <w:rFonts w:ascii="Times New Roman" w:cs="Times New Roman" w:eastAsia="Times New Roman" w:hAnsi="Times New Roman"/>
          <w:sz w:val="24"/>
          <w:szCs w:val="24"/>
          <w:color w:val="auto"/>
        </w:rPr>
      </w:pPr>
    </w:p>
    <w:p>
      <w:pPr>
        <w:jc w:val="both"/>
        <w:ind w:left="720" w:hanging="720"/>
        <w:spacing w:after="0"/>
        <w:tabs>
          <w:tab w:leader="none" w:pos="72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complete and execute any such Form 3, 4 or 5, and any amendments thereto, or other required report and timely file such Forms or reports with the United States Securities and Exchange Commission (the “SEC”), the NASDAQ Stock Market and any stock exchange or similar authority as considered necessary or advisable under Section 16(a) of the Exchange Act, including without limitation the filing of a Form ID or any other documents necessary or appropriate to enable the undersigned to file the Form 3, 4 and 5 electronically with the SEC; and</w:t>
      </w:r>
    </w:p>
    <w:p>
      <w:pPr>
        <w:spacing w:after="0" w:line="199" w:lineRule="exact"/>
        <w:rPr>
          <w:rFonts w:ascii="Times New Roman" w:cs="Times New Roman" w:eastAsia="Times New Roman" w:hAnsi="Times New Roman"/>
          <w:sz w:val="24"/>
          <w:szCs w:val="24"/>
          <w:color w:val="auto"/>
        </w:rPr>
      </w:pPr>
    </w:p>
    <w:p>
      <w:pPr>
        <w:jc w:val="both"/>
        <w:ind w:left="720" w:hanging="720"/>
        <w:spacing w:after="0" w:line="242" w:lineRule="auto"/>
        <w:tabs>
          <w:tab w:leader="none" w:pos="72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 s sole discretion.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The undersigned acknowledges that:</w:t>
      </w:r>
    </w:p>
    <w:p>
      <w:pPr>
        <w:spacing w:after="0" w:line="234" w:lineRule="exact"/>
        <w:rPr>
          <w:sz w:val="20"/>
          <w:szCs w:val="20"/>
          <w:color w:val="auto"/>
        </w:rPr>
      </w:pPr>
    </w:p>
    <w:p>
      <w:pPr>
        <w:ind w:left="720" w:hanging="720"/>
        <w:spacing w:after="0"/>
        <w:tabs>
          <w:tab w:leader="none" w:pos="72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foregoing attorneys-in-fact are serving in such capacity at the request of the undersigned;</w:t>
      </w:r>
    </w:p>
    <w:p>
      <w:pPr>
        <w:spacing w:after="0" w:line="234" w:lineRule="exact"/>
        <w:rPr>
          <w:rFonts w:ascii="Times New Roman" w:cs="Times New Roman" w:eastAsia="Times New Roman" w:hAnsi="Times New Roman"/>
          <w:sz w:val="24"/>
          <w:szCs w:val="24"/>
          <w:color w:val="auto"/>
        </w:rPr>
      </w:pPr>
    </w:p>
    <w:p>
      <w:pPr>
        <w:jc w:val="both"/>
        <w:ind w:left="720" w:right="20" w:hanging="720"/>
        <w:spacing w:after="0" w:line="250" w:lineRule="auto"/>
        <w:tabs>
          <w:tab w:leader="none" w:pos="72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this Power of Attorney authorizes, but does not require, such attorneys-in-fact to act in his or her discretion on information provided to such attorneys-in-fact without independent verification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1" w:lineRule="exact"/>
        <w:rPr>
          <w:sz w:val="20"/>
          <w:szCs w:val="20"/>
          <w:color w:val="auto"/>
        </w:rPr>
      </w:pPr>
    </w:p>
    <w:p>
      <w:pPr>
        <w:jc w:val="both"/>
        <w:ind w:left="720" w:hanging="720"/>
        <w:spacing w:after="0" w:line="250" w:lineRule="auto"/>
        <w:tabs>
          <w:tab w:leader="none" w:pos="72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documents prepared, executed, acknowledged and/or delivered by such attorneys-in-fact on behalf of the undersigned pursuant to this Power of Attorney will be in such form and will contain such information and disclosure as such attorneys-in-fact, in his or her discretion, deems necessary or desirable;</w:t>
      </w:r>
    </w:p>
    <w:p>
      <w:pPr>
        <w:spacing w:after="0" w:line="188" w:lineRule="exact"/>
        <w:rPr>
          <w:rFonts w:ascii="Times New Roman" w:cs="Times New Roman" w:eastAsia="Times New Roman" w:hAnsi="Times New Roman"/>
          <w:sz w:val="24"/>
          <w:szCs w:val="24"/>
          <w:color w:val="auto"/>
        </w:rPr>
      </w:pPr>
    </w:p>
    <w:p>
      <w:pPr>
        <w:jc w:val="both"/>
        <w:ind w:left="720" w:hanging="720"/>
        <w:spacing w:after="0" w:line="250" w:lineRule="auto"/>
        <w:tabs>
          <w:tab w:leader="none" w:pos="72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such attorneys-in-fact assumes (i) any liability for the undersigned’s responsibility to comply with the requirement of the Exchange Act or (ii) any liability of the undersigned for any failure to comply with such requirements; and</w:t>
      </w:r>
    </w:p>
    <w:p>
      <w:pPr>
        <w:spacing w:after="0" w:line="188" w:lineRule="exact"/>
        <w:rPr>
          <w:rFonts w:ascii="Times New Roman" w:cs="Times New Roman" w:eastAsia="Times New Roman" w:hAnsi="Times New Roman"/>
          <w:sz w:val="24"/>
          <w:szCs w:val="24"/>
          <w:color w:val="auto"/>
        </w:rPr>
      </w:pPr>
    </w:p>
    <w:p>
      <w:pPr>
        <w:jc w:val="both"/>
        <w:ind w:left="720" w:hanging="720"/>
        <w:spacing w:after="0" w:line="250" w:lineRule="auto"/>
        <w:tabs>
          <w:tab w:leader="none" w:pos="72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88"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as to any attorney-in-fact by the undersigned in a signed writing delivered to such attorney-in-fact.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993775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3" w:name="page4"/>
    <w:bookmarkEnd w:id="3"/>
    <w:p>
      <w:pPr>
        <w:spacing w:after="0" w:line="111" w:lineRule="exact"/>
        <w:rPr>
          <w:sz w:val="20"/>
          <w:szCs w:val="20"/>
          <w:color w:val="auto"/>
        </w:rPr>
      </w:pPr>
    </w:p>
    <w:p>
      <w:pPr>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21st day of March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color w:val="auto"/>
        </w:rPr>
        <w:t>/s/ Mark Hagler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15240</wp:posOffset>
            </wp:positionV>
            <wp:extent cx="374523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745230" cy="9525"/>
                    </a:xfrm>
                    <a:prstGeom prst="rect">
                      <a:avLst/>
                    </a:prstGeom>
                    <a:noFill/>
                  </pic:spPr>
                </pic:pic>
              </a:graphicData>
            </a:graphic>
          </wp:anchor>
        </w:drawing>
      </w:r>
    </w:p>
    <w:p>
      <w:pPr>
        <w:spacing w:after="0" w:line="1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color w:val="auto"/>
        </w:rPr>
        <w:t>Mark Hagler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1282065</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680"/>
      </w:cols>
      <w:pgMar w:left="480" w:top="144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26029" TargetMode="External"/><Relationship Id="rId11" Type="http://schemas.openxmlformats.org/officeDocument/2006/relationships/hyperlink" Target="http://www.sec.gov/cgi-bin/browse-edgar?action=getcompany&amp;CIK=0001778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2026-04-22T15:12:58Z</dcterms:created>
  <dcterms:modified xsi:type="dcterms:W3CDTF">2026-04-22T15:12:58Z</dcterms:modified>
</cp:coreProperties>
</file>