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-621665</wp:posOffset>
            </wp:positionV>
            <wp:extent cx="57785" cy="635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3964940</wp:posOffset>
            </wp:positionH>
            <wp:positionV relativeFrom="paragraph">
              <wp:posOffset>-621665</wp:posOffset>
            </wp:positionV>
            <wp:extent cx="57785" cy="635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737870</wp:posOffset>
            </wp:positionV>
            <wp:extent cx="6994525" cy="48799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87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Xu Cong Claire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0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NovaBridge Biosciences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NBP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NOVABRIDGE BIOSCIENCES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05/30/2026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2440 RESEARCH BOULEVARD, SUITE 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2" w:right="640" w:hanging="2"/>
        <w:spacing w:after="0" w:line="255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2"/>
        <w:spacing w:after="0"/>
        <w:tabs>
          <w:tab w:leader="none" w:pos="208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22"/>
        <w:spacing w:after="0"/>
        <w:tabs>
          <w:tab w:leader="none" w:pos="208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Clinical Development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8"/>
            <w:col w:w="3342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05/30/2026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9,382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293,648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3,494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290,154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4,079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(8)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Ordinary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bscript"/>
              </w:rPr>
              <w:t>(1)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4,079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32,637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-1833880</wp:posOffset>
            </wp:positionV>
            <wp:extent cx="29210" cy="18389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83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Ordinary Shares may be represented by American Depositary Shares ("ADS"). Each 10 ADSs represent 23 Ordinary Shares of the Issuer.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4,079 ADSs.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ADS.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127,673 ADSs.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1,519 ADSs.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sales price represents the converted sales price of the ADSs of $1.71.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126,154 ADSs.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represent ADSs.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1"/>
        <w:spacing w:after="0" w:line="252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30, 2024, the Reporting Person was granted 65,270 RSUs. The RSUs vested or shall vest over four years, with one-fourth vesting on the first anniversary of the grant date and the balance vesting ratably over the subsequent 12 quarters on the 30th day of each third month.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Xi-Yong (Sean) Fu as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0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4309" TargetMode="External"/><Relationship Id="rId14" Type="http://schemas.openxmlformats.org/officeDocument/2006/relationships/hyperlink" Target="http://www.sec.gov/cgi-bin/browse-edgar?action=getcompany&amp;CIK=0001778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2026-06-02T17:48:26Z</dcterms:created>
  <dcterms:modified xsi:type="dcterms:W3CDTF">2026-06-02T17:48:26Z</dcterms:modified>
</cp:coreProperties>
</file>